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E38C6">
      <w:pPr>
        <w:spacing w:line="600" w:lineRule="exact"/>
        <w:jc w:val="both"/>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eastAsia="zh-CN"/>
        </w:rPr>
        <w:t>附件</w:t>
      </w:r>
      <w:r>
        <w:rPr>
          <w:rFonts w:hint="default" w:ascii="Times New Roman" w:hAnsi="Times New Roman" w:eastAsia="仿宋_GB2312" w:cs="Times New Roman"/>
          <w:b w:val="0"/>
          <w:bCs w:val="0"/>
          <w:color w:val="auto"/>
          <w:sz w:val="32"/>
          <w:szCs w:val="32"/>
          <w:lang w:val="en-US" w:eastAsia="zh-CN"/>
        </w:rPr>
        <w:t>1：</w:t>
      </w:r>
    </w:p>
    <w:p w14:paraId="548E04B7">
      <w:pPr>
        <w:spacing w:line="600" w:lineRule="exact"/>
        <w:jc w:val="center"/>
        <w:rPr>
          <w:rFonts w:hint="default" w:ascii="Times New Roman" w:hAnsi="Times New Roman" w:eastAsia="方正小标宋简体" w:cs="Times New Roman"/>
          <w:color w:val="auto"/>
          <w:sz w:val="42"/>
          <w:szCs w:val="42"/>
        </w:rPr>
      </w:pPr>
    </w:p>
    <w:p w14:paraId="27C3A343">
      <w:pPr>
        <w:spacing w:line="60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202</w:t>
      </w:r>
      <w:r>
        <w:rPr>
          <w:rFonts w:hint="default" w:ascii="Times New Roman" w:hAnsi="Times New Roman" w:eastAsia="方正小标宋简体" w:cs="Times New Roman"/>
          <w:color w:val="auto"/>
          <w:sz w:val="44"/>
          <w:szCs w:val="44"/>
          <w:lang w:val="en-US" w:eastAsia="zh-CN"/>
        </w:rPr>
        <w:t>5</w:t>
      </w:r>
      <w:r>
        <w:rPr>
          <w:rFonts w:hint="default" w:ascii="Times New Roman" w:hAnsi="Times New Roman" w:eastAsia="方正小标宋简体" w:cs="Times New Roman"/>
          <w:color w:val="auto"/>
          <w:sz w:val="44"/>
          <w:szCs w:val="44"/>
        </w:rPr>
        <w:t>年东莞市文化发展专项资金</w:t>
      </w:r>
    </w:p>
    <w:p w14:paraId="22796C37">
      <w:pPr>
        <w:spacing w:line="60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（社科</w:t>
      </w:r>
      <w:r>
        <w:rPr>
          <w:rFonts w:hint="default" w:ascii="Times New Roman" w:hAnsi="Times New Roman" w:eastAsia="方正小标宋简体" w:cs="Times New Roman"/>
          <w:color w:val="auto"/>
          <w:sz w:val="44"/>
          <w:szCs w:val="44"/>
          <w:lang w:eastAsia="zh-CN"/>
        </w:rPr>
        <w:t>研究</w:t>
      </w:r>
      <w:r>
        <w:rPr>
          <w:rFonts w:hint="default" w:ascii="Times New Roman" w:hAnsi="Times New Roman" w:eastAsia="方正小标宋简体" w:cs="Times New Roman"/>
          <w:color w:val="auto"/>
          <w:sz w:val="44"/>
          <w:szCs w:val="44"/>
        </w:rPr>
        <w:t>类）申报指南</w:t>
      </w:r>
    </w:p>
    <w:p w14:paraId="10EA4513">
      <w:pPr>
        <w:keepNext w:val="0"/>
        <w:keepLines w:val="0"/>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p>
    <w:p w14:paraId="16AB1E14">
      <w:pPr>
        <w:keepNext w:val="0"/>
        <w:keepLines w:val="0"/>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为全面贯彻</w:t>
      </w:r>
      <w:r>
        <w:rPr>
          <w:rFonts w:hint="default" w:ascii="Times New Roman" w:hAnsi="Times New Roman" w:eastAsia="仿宋_GB2312" w:cs="Times New Roman"/>
          <w:b w:val="0"/>
          <w:bCs w:val="0"/>
          <w:spacing w:val="8"/>
          <w:kern w:val="2"/>
          <w:sz w:val="32"/>
          <w:szCs w:val="32"/>
          <w:lang w:val="en-US" w:eastAsia="zh-CN" w:bidi="ar-SA"/>
        </w:rPr>
        <w:t>党的二十大和二十届二中、三中全会精神</w:t>
      </w:r>
      <w:r>
        <w:rPr>
          <w:rFonts w:hint="default" w:ascii="Times New Roman" w:hAnsi="Times New Roman" w:eastAsia="仿宋_GB2312" w:cs="Times New Roman"/>
          <w:color w:val="auto"/>
          <w:sz w:val="32"/>
          <w:szCs w:val="32"/>
        </w:rPr>
        <w:t>，深入贯彻落实习近平关于哲学社会科学的重要论述精神和习近平总书记对广东系列重要讲话、重要指示批示精神，根据</w:t>
      </w:r>
      <w:r>
        <w:rPr>
          <w:rFonts w:hint="default" w:ascii="Times New Roman" w:hAnsi="Times New Roman" w:eastAsia="仿宋_GB2312" w:cs="Times New Roman"/>
          <w:color w:val="auto"/>
          <w:sz w:val="32"/>
          <w:szCs w:val="32"/>
          <w:lang w:eastAsia="zh-CN"/>
        </w:rPr>
        <w:t>《关于印发&lt;东莞市文化发展专项资金管理办法&gt;的通知》（东</w:t>
      </w:r>
      <w:r>
        <w:rPr>
          <w:rFonts w:hint="default" w:ascii="Times New Roman" w:hAnsi="Times New Roman" w:eastAsia="仿宋_GB2312" w:cs="Times New Roman"/>
          <w:color w:val="auto"/>
          <w:sz w:val="32"/>
          <w:szCs w:val="32"/>
          <w:lang w:val="en-US" w:eastAsia="zh-CN"/>
        </w:rPr>
        <w:t>宣通</w:t>
      </w:r>
      <w:r>
        <w:rPr>
          <w:rFonts w:hint="default" w:ascii="Times New Roman" w:hAnsi="Times New Roman" w:eastAsia="仿宋_GB2312" w:cs="Times New Roman"/>
          <w:color w:val="auto"/>
          <w:sz w:val="32"/>
          <w:szCs w:val="32"/>
          <w:lang w:eastAsia="zh-CN"/>
        </w:rPr>
        <w:t>〔202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eastAsia="zh-CN"/>
        </w:rPr>
        <w:t>号）要求，</w:t>
      </w:r>
      <w:r>
        <w:rPr>
          <w:rFonts w:hint="default" w:ascii="Times New Roman" w:hAnsi="Times New Roman" w:eastAsia="仿宋_GB2312" w:cs="Times New Roman"/>
          <w:color w:val="auto"/>
          <w:sz w:val="32"/>
          <w:szCs w:val="32"/>
        </w:rPr>
        <w:t>现制定202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年东莞市文化发展专项资金（社科</w:t>
      </w:r>
      <w:r>
        <w:rPr>
          <w:rFonts w:hint="default" w:ascii="Times New Roman" w:hAnsi="Times New Roman" w:eastAsia="仿宋_GB2312" w:cs="Times New Roman"/>
          <w:color w:val="auto"/>
          <w:sz w:val="32"/>
          <w:szCs w:val="32"/>
          <w:lang w:eastAsia="zh-CN"/>
        </w:rPr>
        <w:t>研究</w:t>
      </w:r>
      <w:r>
        <w:rPr>
          <w:rFonts w:hint="default" w:ascii="Times New Roman" w:hAnsi="Times New Roman" w:eastAsia="仿宋_GB2312" w:cs="Times New Roman"/>
          <w:color w:val="auto"/>
          <w:sz w:val="32"/>
          <w:szCs w:val="32"/>
        </w:rPr>
        <w:t>类）申报指南。</w:t>
      </w:r>
    </w:p>
    <w:p w14:paraId="56EAFB7E">
      <w:pPr>
        <w:pStyle w:val="12"/>
        <w:keepNext w:val="0"/>
        <w:keepLines w:val="0"/>
        <w:pageBreakBefore w:val="0"/>
        <w:kinsoku/>
        <w:wordWrap/>
        <w:overflowPunct/>
        <w:topLinePunct w:val="0"/>
        <w:bidi w:val="0"/>
        <w:spacing w:line="600" w:lineRule="exact"/>
        <w:ind w:firstLine="640"/>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rPr>
        <w:t>一、申报主体</w:t>
      </w:r>
    </w:p>
    <w:p w14:paraId="2B7ED16B">
      <w:pPr>
        <w:pStyle w:val="12"/>
        <w:keepNext w:val="0"/>
        <w:keepLines w:val="0"/>
        <w:pageBreakBefore w:val="0"/>
        <w:kinsoku/>
        <w:wordWrap/>
        <w:overflowPunct/>
        <w:topLinePunct w:val="0"/>
        <w:bidi w:val="0"/>
        <w:spacing w:line="600" w:lineRule="exact"/>
        <w:ind w:firstLine="480" w:firstLineChars="150"/>
        <w:textAlignment w:val="auto"/>
        <w:rPr>
          <w:rFonts w:hint="default" w:ascii="Times New Roman" w:hAnsi="Times New Roman" w:cs="Times New Roman"/>
          <w:b w:val="0"/>
          <w:bCs w:val="0"/>
          <w:color w:val="auto"/>
          <w:sz w:val="32"/>
          <w:szCs w:val="32"/>
          <w:lang w:val="en-US" w:eastAsia="zh-CN"/>
        </w:rPr>
      </w:pPr>
      <w:r>
        <w:rPr>
          <w:rFonts w:hint="default" w:ascii="Times New Roman" w:hAnsi="Times New Roman" w:cs="Times New Roman"/>
          <w:color w:val="auto"/>
        </w:rPr>
        <w:t>（一）在我市从事哲学社会科学工作的单位或个人。其中，</w:t>
      </w:r>
      <w:r>
        <w:rPr>
          <w:rFonts w:hint="default" w:ascii="Times New Roman" w:hAnsi="Times New Roman" w:cs="Times New Roman"/>
          <w:color w:val="auto"/>
          <w:szCs w:val="32"/>
          <w:highlight w:val="none"/>
        </w:rPr>
        <w:t>单位是指在东莞市登记、具有相应专业资质和能力的法人单位</w:t>
      </w:r>
      <w:r>
        <w:rPr>
          <w:rFonts w:hint="default" w:ascii="Times New Roman" w:hAnsi="Times New Roman" w:cs="Times New Roman"/>
          <w:color w:val="auto"/>
        </w:rPr>
        <w:t>；</w:t>
      </w:r>
      <w:r>
        <w:rPr>
          <w:rFonts w:hint="default" w:ascii="Times New Roman" w:hAnsi="Times New Roman" w:cs="Times New Roman"/>
          <w:color w:val="auto"/>
          <w:szCs w:val="32"/>
          <w:highlight w:val="none"/>
        </w:rPr>
        <w:t>个人是指东莞户籍人员或连续缴满</w:t>
      </w:r>
      <w:r>
        <w:rPr>
          <w:rFonts w:hint="default" w:ascii="Times New Roman" w:hAnsi="Times New Roman" w:cs="Times New Roman"/>
          <w:color w:val="auto"/>
          <w:szCs w:val="32"/>
          <w:highlight w:val="none"/>
          <w:lang w:eastAsia="zh-CN"/>
        </w:rPr>
        <w:t>1</w:t>
      </w:r>
      <w:r>
        <w:rPr>
          <w:rFonts w:hint="default" w:ascii="Times New Roman" w:hAnsi="Times New Roman" w:cs="Times New Roman"/>
          <w:color w:val="auto"/>
          <w:szCs w:val="32"/>
          <w:highlight w:val="none"/>
        </w:rPr>
        <w:t>年社保的非东莞户籍人</w:t>
      </w:r>
      <w:r>
        <w:rPr>
          <w:rFonts w:hint="default" w:ascii="Times New Roman" w:hAnsi="Times New Roman" w:cs="Times New Roman"/>
          <w:b w:val="0"/>
          <w:bCs w:val="0"/>
          <w:color w:val="auto"/>
          <w:szCs w:val="32"/>
          <w:highlight w:val="none"/>
        </w:rPr>
        <w:t>员</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截至</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202</w:t>
      </w:r>
      <w:r>
        <w:rPr>
          <w:rFonts w:hint="default" w:ascii="Times New Roman" w:hAnsi="Times New Roman" w:cs="Times New Roman"/>
          <w:b w:val="0"/>
          <w:bCs w:val="0"/>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年</w:t>
      </w:r>
      <w:r>
        <w:rPr>
          <w:rFonts w:hint="default" w:ascii="Times New Roman" w:hAnsi="Times New Roman" w:cs="Times New Roman"/>
          <w:b w:val="0"/>
          <w:bCs w:val="0"/>
          <w:color w:val="000000" w:themeColor="text1"/>
          <w:sz w:val="32"/>
          <w:szCs w:val="32"/>
          <w:lang w:val="en-US" w:eastAsia="zh-CN"/>
          <w14:textFill>
            <w14:solidFill>
              <w14:schemeClr w14:val="tx1"/>
            </w14:solidFill>
          </w14:textFill>
        </w:rPr>
        <w:t>12</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月</w:t>
      </w:r>
      <w:r>
        <w:rPr>
          <w:rFonts w:hint="default" w:ascii="Times New Roman" w:hAnsi="Times New Roman" w:cs="Times New Roman"/>
          <w:b w:val="0"/>
          <w:bCs w:val="0"/>
          <w:color w:val="000000" w:themeColor="text1"/>
          <w:sz w:val="32"/>
          <w:szCs w:val="32"/>
          <w:lang w:val="en-US" w:eastAsia="zh-CN"/>
          <w14:textFill>
            <w14:solidFill>
              <w14:schemeClr w14:val="tx1"/>
            </w14:solidFill>
          </w14:textFill>
        </w:rPr>
        <w:t>31</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日</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cs="Times New Roman"/>
          <w:b w:val="0"/>
          <w:bCs w:val="0"/>
          <w:color w:val="auto"/>
          <w:sz w:val="32"/>
          <w:szCs w:val="32"/>
          <w:lang w:val="en-US" w:eastAsia="zh-CN"/>
        </w:rPr>
        <w:t>。</w:t>
      </w:r>
    </w:p>
    <w:p w14:paraId="2075DE73">
      <w:pPr>
        <w:pStyle w:val="12"/>
        <w:keepNext w:val="0"/>
        <w:keepLines w:val="0"/>
        <w:pageBreakBefore w:val="0"/>
        <w:kinsoku/>
        <w:wordWrap/>
        <w:overflowPunct/>
        <w:topLinePunct w:val="0"/>
        <w:bidi w:val="0"/>
        <w:spacing w:line="600" w:lineRule="exact"/>
        <w:ind w:firstLine="480" w:firstLineChars="150"/>
        <w:textAlignment w:val="auto"/>
        <w:rPr>
          <w:rFonts w:hint="default" w:ascii="Times New Roman" w:hAnsi="Times New Roman" w:cs="Times New Roman"/>
          <w:color w:val="auto"/>
        </w:rPr>
      </w:pPr>
      <w:r>
        <w:rPr>
          <w:rFonts w:hint="default" w:ascii="Times New Roman" w:hAnsi="Times New Roman" w:cs="Times New Roman"/>
          <w:color w:val="auto"/>
        </w:rPr>
        <w:t>（二）通过专题会议确定的项目以及以东莞为主题、对宣传东莞具有典型意义的项目，其申报主体不受上述条款限制。</w:t>
      </w:r>
    </w:p>
    <w:p w14:paraId="46412D67">
      <w:pPr>
        <w:pStyle w:val="12"/>
        <w:keepNext w:val="0"/>
        <w:keepLines w:val="0"/>
        <w:pageBreakBefore w:val="0"/>
        <w:kinsoku/>
        <w:wordWrap/>
        <w:overflowPunct/>
        <w:topLinePunct w:val="0"/>
        <w:bidi w:val="0"/>
        <w:spacing w:line="600" w:lineRule="exact"/>
        <w:ind w:firstLine="480" w:firstLineChars="150"/>
        <w:textAlignment w:val="auto"/>
        <w:rPr>
          <w:rFonts w:hint="default" w:ascii="Times New Roman" w:hAnsi="Times New Roman" w:cs="Times New Roman"/>
          <w:color w:val="auto"/>
        </w:rPr>
      </w:pPr>
      <w:r>
        <w:rPr>
          <w:rFonts w:hint="default" w:ascii="Times New Roman" w:hAnsi="Times New Roman" w:cs="Times New Roman"/>
          <w:color w:val="auto"/>
        </w:rPr>
        <w:t>（三）申报主体合法拥有知识产权，包括研究成果的版权、评奖申报权和荣誉权等。</w:t>
      </w:r>
    </w:p>
    <w:p w14:paraId="36B48BC0">
      <w:pPr>
        <w:pStyle w:val="12"/>
        <w:keepNext w:val="0"/>
        <w:keepLines w:val="0"/>
        <w:pageBreakBefore w:val="0"/>
        <w:kinsoku/>
        <w:wordWrap/>
        <w:overflowPunct/>
        <w:topLinePunct w:val="0"/>
        <w:bidi w:val="0"/>
        <w:spacing w:line="600" w:lineRule="exact"/>
        <w:ind w:firstLine="480" w:firstLineChars="150"/>
        <w:textAlignment w:val="auto"/>
        <w:rPr>
          <w:rFonts w:hint="default" w:ascii="Times New Roman" w:hAnsi="Times New Roman" w:cs="Times New Roman"/>
          <w:color w:val="auto"/>
        </w:rPr>
      </w:pPr>
      <w:r>
        <w:rPr>
          <w:rFonts w:hint="default" w:ascii="Times New Roman" w:hAnsi="Times New Roman" w:cs="Times New Roman"/>
          <w:color w:val="auto"/>
        </w:rPr>
        <w:t>（四）申报主体必须用单位全称或真实姓名进行申报，且无违法违规行为。</w:t>
      </w:r>
    </w:p>
    <w:p w14:paraId="6D4E82FE">
      <w:pPr>
        <w:pStyle w:val="12"/>
        <w:keepNext w:val="0"/>
        <w:keepLines w:val="0"/>
        <w:pageBreakBefore w:val="0"/>
        <w:kinsoku/>
        <w:wordWrap/>
        <w:overflowPunct/>
        <w:topLinePunct w:val="0"/>
        <w:bidi w:val="0"/>
        <w:spacing w:line="600" w:lineRule="exact"/>
        <w:ind w:firstLine="640"/>
        <w:textAlignment w:val="auto"/>
        <w:rPr>
          <w:rFonts w:hint="default" w:ascii="Times New Roman" w:hAnsi="Times New Roman" w:cs="Times New Roman"/>
          <w:color w:val="auto"/>
        </w:rPr>
      </w:pPr>
      <w:r>
        <w:rPr>
          <w:rFonts w:hint="default" w:ascii="Times New Roman" w:hAnsi="Times New Roman" w:eastAsia="黑体" w:cs="Times New Roman"/>
          <w:color w:val="auto"/>
        </w:rPr>
        <w:t>二、资金适用范围</w:t>
      </w:r>
    </w:p>
    <w:p w14:paraId="5BAB65C4">
      <w:pPr>
        <w:keepNext w:val="0"/>
        <w:keepLines w:val="0"/>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对体现社会主义核心价值观要求、具有良好的社会效益和市场发展前景、在推动东莞社科研究方面有积极促进作用的优质项目予以奖励。202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年东莞市文化发展专项资金（社科类）的适用范围包括以下</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大类：</w:t>
      </w:r>
    </w:p>
    <w:p w14:paraId="501F808C">
      <w:pPr>
        <w:pStyle w:val="12"/>
        <w:keepNext w:val="0"/>
        <w:keepLines w:val="0"/>
        <w:pageBreakBefore w:val="0"/>
        <w:kinsoku/>
        <w:wordWrap/>
        <w:overflowPunct/>
        <w:topLinePunct w:val="0"/>
        <w:bidi w:val="0"/>
        <w:spacing w:line="600" w:lineRule="exact"/>
        <w:ind w:firstLine="480" w:firstLineChars="150"/>
        <w:textAlignment w:val="auto"/>
        <w:rPr>
          <w:rFonts w:hint="default" w:ascii="Times New Roman" w:hAnsi="Times New Roman" w:eastAsia="楷体_GB2312" w:cs="Times New Roman"/>
          <w:color w:val="auto"/>
        </w:rPr>
      </w:pPr>
      <w:r>
        <w:rPr>
          <w:rFonts w:hint="default" w:ascii="Times New Roman" w:hAnsi="Times New Roman" w:eastAsia="楷体_GB2312" w:cs="Times New Roman"/>
          <w:color w:val="auto"/>
        </w:rPr>
        <w:t>（一）国家和省级配套项目</w:t>
      </w:r>
    </w:p>
    <w:p w14:paraId="0A3EF19D">
      <w:pPr>
        <w:pStyle w:val="16"/>
        <w:keepNext w:val="0"/>
        <w:keepLines w:val="0"/>
        <w:pageBreakBefore w:val="0"/>
        <w:kinsoku/>
        <w:wordWrap/>
        <w:overflowPunct/>
        <w:topLinePunct w:val="0"/>
        <w:bidi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2</w:t>
      </w:r>
      <w:r>
        <w:rPr>
          <w:rFonts w:hint="default" w:ascii="Times New Roman" w:hAnsi="Times New Roman" w:eastAsia="仿宋_GB2312" w:cs="Times New Roman"/>
          <w:color w:val="auto"/>
          <w:sz w:val="32"/>
          <w:szCs w:val="32"/>
          <w:highlight w:val="none"/>
          <w:lang w:val="en-US" w:eastAsia="zh-CN"/>
        </w:rPr>
        <w:t>024年1月1日至2</w:t>
      </w:r>
      <w:r>
        <w:rPr>
          <w:rFonts w:hint="default" w:ascii="Times New Roman" w:hAnsi="Times New Roman" w:eastAsia="仿宋_GB2312" w:cs="Times New Roman"/>
          <w:color w:val="auto"/>
          <w:sz w:val="32"/>
          <w:szCs w:val="32"/>
          <w:lang w:val="en-US" w:eastAsia="zh-CN"/>
        </w:rPr>
        <w:t>024年12月31日期间</w:t>
      </w:r>
      <w:r>
        <w:rPr>
          <w:rFonts w:hint="default" w:ascii="Times New Roman" w:hAnsi="Times New Roman" w:eastAsia="仿宋_GB2312" w:cs="Times New Roman"/>
          <w:color w:val="auto"/>
          <w:sz w:val="32"/>
          <w:szCs w:val="32"/>
        </w:rPr>
        <w:t>通过国家或</w:t>
      </w:r>
      <w:r>
        <w:rPr>
          <w:rFonts w:hint="default" w:ascii="Times New Roman" w:hAnsi="Times New Roman" w:eastAsia="仿宋_GB2312" w:cs="Times New Roman"/>
          <w:color w:val="auto"/>
          <w:sz w:val="32"/>
          <w:szCs w:val="32"/>
          <w:lang w:eastAsia="zh-CN"/>
        </w:rPr>
        <w:t>省级宣传文化部门</w:t>
      </w:r>
      <w:r>
        <w:rPr>
          <w:rFonts w:hint="default" w:ascii="Times New Roman" w:hAnsi="Times New Roman" w:eastAsia="仿宋_GB2312" w:cs="Times New Roman"/>
          <w:color w:val="auto"/>
          <w:sz w:val="32"/>
          <w:szCs w:val="32"/>
        </w:rPr>
        <w:t>验收结项</w:t>
      </w:r>
      <w:r>
        <w:rPr>
          <w:rFonts w:hint="default" w:ascii="Times New Roman" w:hAnsi="Times New Roman" w:eastAsia="仿宋_GB2312" w:cs="Times New Roman"/>
          <w:color w:val="auto"/>
          <w:sz w:val="32"/>
          <w:szCs w:val="32"/>
          <w:lang w:eastAsia="zh-CN"/>
        </w:rPr>
        <w:t>且获得其经费扶持的社科研究项目</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国家级项目是</w:t>
      </w:r>
      <w:r>
        <w:rPr>
          <w:rFonts w:hint="default" w:ascii="Times New Roman" w:hAnsi="Times New Roman" w:eastAsia="仿宋_GB2312" w:cs="Times New Roman"/>
          <w:color w:val="auto"/>
          <w:sz w:val="32"/>
          <w:szCs w:val="32"/>
        </w:rPr>
        <w:t>指国家社科基金项目、国家公共文化服务体系制度设计研究课题、教育部规划课题；</w:t>
      </w:r>
      <w:r>
        <w:rPr>
          <w:rFonts w:hint="default" w:ascii="Times New Roman" w:hAnsi="Times New Roman" w:eastAsia="仿宋_GB2312" w:cs="Times New Roman"/>
          <w:color w:val="auto"/>
          <w:sz w:val="32"/>
          <w:szCs w:val="32"/>
          <w:highlight w:val="none"/>
          <w:lang w:val="en-US" w:eastAsia="zh-CN"/>
        </w:rPr>
        <w:t>省级项目是指广东省哲学社会科学规划项目、广东省公共文化服务体系设计研究课题；其他由国家、省级宣传文化部门批准立项且经评审认为具备较高权威性的项目。</w:t>
      </w:r>
    </w:p>
    <w:p w14:paraId="173EF124">
      <w:pPr>
        <w:spacing w:line="600" w:lineRule="exact"/>
        <w:ind w:firstLine="640" w:firstLineChars="200"/>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奖励数量：无数量限制，每年根据获得国家和省立项扶持的实际情况给予配套奖励。</w:t>
      </w:r>
    </w:p>
    <w:p w14:paraId="2B181BDE">
      <w:pPr>
        <w:spacing w:line="600" w:lineRule="exact"/>
        <w:ind w:firstLine="640" w:firstLineChars="200"/>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奖励标准：奖励金额与立项级别挂钩，其中国家级项目按立项金额的1倍给予奖励，省级项目按立项金额的0.5倍给予奖励。</w:t>
      </w:r>
    </w:p>
    <w:p w14:paraId="3EA6AF60">
      <w:pPr>
        <w:pStyle w:val="16"/>
        <w:keepNext w:val="0"/>
        <w:keepLines w:val="0"/>
        <w:pageBreakBefore w:val="0"/>
        <w:kinsoku/>
        <w:wordWrap/>
        <w:overflowPunct/>
        <w:topLinePunct w:val="0"/>
        <w:bidi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同一项目获得国家和省两级立项的，按从高不重复原则给予配套奖励或补差。</w:t>
      </w:r>
      <w:r>
        <w:rPr>
          <w:rFonts w:hint="default" w:ascii="Times New Roman" w:hAnsi="Times New Roman" w:eastAsia="仿宋_GB2312" w:cs="Times New Roman"/>
          <w:color w:val="auto"/>
          <w:sz w:val="32"/>
          <w:szCs w:val="32"/>
          <w:lang w:eastAsia="zh-Hans"/>
        </w:rPr>
        <w:t>此前已获市财政资金扶持的项目</w:t>
      </w:r>
      <w:r>
        <w:rPr>
          <w:rFonts w:hint="default" w:ascii="Times New Roman" w:hAnsi="Times New Roman" w:eastAsia="仿宋_GB2312" w:cs="Times New Roman"/>
          <w:color w:val="auto"/>
          <w:sz w:val="32"/>
          <w:szCs w:val="32"/>
        </w:rPr>
        <w:t>不纳入资助范围。</w:t>
      </w:r>
    </w:p>
    <w:p w14:paraId="6A83B9FF">
      <w:pPr>
        <w:pStyle w:val="16"/>
        <w:keepNext w:val="0"/>
        <w:keepLines w:val="0"/>
        <w:pageBreakBefore w:val="0"/>
        <w:kinsoku/>
        <w:wordWrap/>
        <w:overflowPunct/>
        <w:topLinePunct w:val="0"/>
        <w:bidi w:val="0"/>
        <w:spacing w:line="600" w:lineRule="exact"/>
        <w:ind w:firstLine="480" w:firstLineChars="15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（二）社科优秀成果</w:t>
      </w:r>
    </w:p>
    <w:p w14:paraId="71291585">
      <w:pPr>
        <w:pStyle w:val="16"/>
        <w:keepNext w:val="0"/>
        <w:keepLines w:val="0"/>
        <w:pageBreakBefore w:val="0"/>
        <w:kinsoku/>
        <w:wordWrap/>
        <w:overflowPunct/>
        <w:topLinePunct w:val="0"/>
        <w:bidi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年1月1日至202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年12月31日期间获得省级及以上的权威常设性奖，经审核给予一定的资金奖励。获奖时间以获奖证书上的落款日期为准。</w:t>
      </w:r>
    </w:p>
    <w:p w14:paraId="72C49EE7">
      <w:pPr>
        <w:pStyle w:val="16"/>
        <w:keepNext w:val="0"/>
        <w:keepLines w:val="0"/>
        <w:pageBreakBefore w:val="0"/>
        <w:kinsoku/>
        <w:wordWrap/>
        <w:overflowPunct/>
        <w:topLinePunct w:val="0"/>
        <w:bidi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奖励数量：无数量限制，每年根据获奖作品的实际情况给予奖励。</w:t>
      </w:r>
    </w:p>
    <w:p w14:paraId="617CC589">
      <w:pPr>
        <w:pStyle w:val="16"/>
        <w:keepNext w:val="0"/>
        <w:keepLines w:val="0"/>
        <w:pageBreakBefore w:val="0"/>
        <w:kinsoku/>
        <w:wordWrap/>
        <w:overflowPunct/>
        <w:topLinePunct w:val="0"/>
        <w:bidi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奖励标准：详见下表。</w:t>
      </w:r>
    </w:p>
    <w:p w14:paraId="18785613">
      <w:pPr>
        <w:pStyle w:val="16"/>
        <w:keepNext w:val="0"/>
        <w:keepLines w:val="0"/>
        <w:pageBreakBefore w:val="0"/>
        <w:kinsoku/>
        <w:wordWrap/>
        <w:overflowPunct/>
        <w:topLinePunct w:val="0"/>
        <w:bidi w:val="0"/>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表：社科优秀成果奖励范围及标准</w:t>
      </w:r>
    </w:p>
    <w:tbl>
      <w:tblPr>
        <w:tblStyle w:val="8"/>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8"/>
        <w:gridCol w:w="884"/>
        <w:gridCol w:w="1276"/>
        <w:gridCol w:w="850"/>
        <w:gridCol w:w="1276"/>
        <w:gridCol w:w="851"/>
        <w:gridCol w:w="1275"/>
      </w:tblGrid>
      <w:tr w14:paraId="40F2B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2768" w:type="dxa"/>
            <w:vMerge w:val="restart"/>
            <w:tcBorders>
              <w:top w:val="single" w:color="auto" w:sz="4" w:space="0"/>
              <w:left w:val="single" w:color="auto" w:sz="4" w:space="0"/>
              <w:bottom w:val="single" w:color="auto" w:sz="4" w:space="0"/>
              <w:right w:val="single" w:color="auto" w:sz="4" w:space="0"/>
            </w:tcBorders>
            <w:noWrap w:val="0"/>
            <w:vAlign w:val="center"/>
          </w:tcPr>
          <w:p w14:paraId="542F6499">
            <w:pPr>
              <w:spacing w:line="400"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奖励范围</w:t>
            </w:r>
          </w:p>
        </w:tc>
        <w:tc>
          <w:tcPr>
            <w:tcW w:w="6412" w:type="dxa"/>
            <w:gridSpan w:val="6"/>
            <w:tcBorders>
              <w:top w:val="single" w:color="auto" w:sz="4" w:space="0"/>
              <w:left w:val="single" w:color="auto" w:sz="4" w:space="0"/>
              <w:bottom w:val="single" w:color="auto" w:sz="4" w:space="0"/>
              <w:right w:val="single" w:color="auto" w:sz="4" w:space="0"/>
            </w:tcBorders>
            <w:noWrap w:val="0"/>
            <w:vAlign w:val="center"/>
          </w:tcPr>
          <w:p w14:paraId="6A540BCB">
            <w:pPr>
              <w:spacing w:line="400" w:lineRule="exac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奖励金额（万元）</w:t>
            </w:r>
          </w:p>
        </w:tc>
      </w:tr>
      <w:tr w14:paraId="233C4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blHeader/>
        </w:trPr>
        <w:tc>
          <w:tcPr>
            <w:tcW w:w="2768" w:type="dxa"/>
            <w:vMerge w:val="continue"/>
            <w:tcBorders>
              <w:top w:val="single" w:color="auto" w:sz="4" w:space="0"/>
              <w:left w:val="single" w:color="auto" w:sz="4" w:space="0"/>
              <w:bottom w:val="single" w:color="auto" w:sz="4" w:space="0"/>
              <w:right w:val="single" w:color="auto" w:sz="4" w:space="0"/>
            </w:tcBorders>
            <w:noWrap w:val="0"/>
            <w:vAlign w:val="center"/>
          </w:tcPr>
          <w:p w14:paraId="2CB33814">
            <w:pPr>
              <w:spacing w:line="400" w:lineRule="exact"/>
              <w:jc w:val="center"/>
              <w:rPr>
                <w:rFonts w:hint="default" w:ascii="Times New Roman" w:hAnsi="Times New Roman" w:cs="Times New Roman"/>
                <w:color w:val="auto"/>
                <w:sz w:val="28"/>
                <w:szCs w:val="28"/>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1A9B9CF9">
            <w:pPr>
              <w:spacing w:line="4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一等奖</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164316D6">
            <w:pPr>
              <w:spacing w:line="4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二等奖</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53953BC6">
            <w:pPr>
              <w:spacing w:line="4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三等奖</w:t>
            </w:r>
          </w:p>
        </w:tc>
      </w:tr>
      <w:tr w14:paraId="290A7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4" w:hRule="atLeast"/>
          <w:tblHeader/>
        </w:trPr>
        <w:tc>
          <w:tcPr>
            <w:tcW w:w="2768" w:type="dxa"/>
            <w:vMerge w:val="continue"/>
            <w:tcBorders>
              <w:top w:val="single" w:color="auto" w:sz="4" w:space="0"/>
              <w:left w:val="single" w:color="auto" w:sz="4" w:space="0"/>
              <w:bottom w:val="single" w:color="auto" w:sz="4" w:space="0"/>
              <w:right w:val="single" w:color="auto" w:sz="4" w:space="0"/>
            </w:tcBorders>
            <w:noWrap w:val="0"/>
            <w:vAlign w:val="center"/>
          </w:tcPr>
          <w:p w14:paraId="1097CF1D">
            <w:pPr>
              <w:spacing w:line="400" w:lineRule="exact"/>
              <w:jc w:val="center"/>
              <w:rPr>
                <w:rFonts w:hint="default" w:ascii="Times New Roman" w:hAnsi="Times New Roman" w:cs="Times New Roman"/>
                <w:color w:val="auto"/>
                <w:sz w:val="28"/>
                <w:szCs w:val="28"/>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1F5F0A80">
            <w:pPr>
              <w:spacing w:line="4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著作</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0DF1273">
            <w:pPr>
              <w:spacing w:line="4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论文（调研报告）</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16B6523A">
            <w:pPr>
              <w:spacing w:line="4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著作</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68A9D97">
            <w:pPr>
              <w:spacing w:line="4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论文（调研报告）</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181D1C35">
            <w:pPr>
              <w:spacing w:line="4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著作</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E0E7188">
            <w:pPr>
              <w:spacing w:line="4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论文（调研报告）</w:t>
            </w:r>
          </w:p>
        </w:tc>
      </w:tr>
      <w:tr w14:paraId="529EC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3" w:hRule="atLeast"/>
        </w:trPr>
        <w:tc>
          <w:tcPr>
            <w:tcW w:w="2768" w:type="dxa"/>
            <w:tcBorders>
              <w:top w:val="single" w:color="auto" w:sz="4" w:space="0"/>
              <w:left w:val="single" w:color="auto" w:sz="4" w:space="0"/>
              <w:bottom w:val="single" w:color="auto" w:sz="4" w:space="0"/>
              <w:right w:val="single" w:color="auto" w:sz="4" w:space="0"/>
            </w:tcBorders>
            <w:noWrap w:val="0"/>
            <w:vAlign w:val="center"/>
          </w:tcPr>
          <w:p w14:paraId="467D0C7B">
            <w:pPr>
              <w:spacing w:line="40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国家社科基金项目优秀成果奖</w:t>
            </w:r>
          </w:p>
        </w:tc>
        <w:tc>
          <w:tcPr>
            <w:tcW w:w="884" w:type="dxa"/>
            <w:tcBorders>
              <w:top w:val="single" w:color="auto" w:sz="4" w:space="0"/>
              <w:left w:val="single" w:color="auto" w:sz="4" w:space="0"/>
              <w:bottom w:val="single" w:color="auto" w:sz="4" w:space="0"/>
              <w:right w:val="single" w:color="auto" w:sz="4" w:space="0"/>
            </w:tcBorders>
            <w:noWrap w:val="0"/>
            <w:vAlign w:val="center"/>
          </w:tcPr>
          <w:p w14:paraId="103B2E50">
            <w:pPr>
              <w:spacing w:line="40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cs="Times New Roman"/>
                <w:color w:val="auto"/>
                <w:sz w:val="28"/>
                <w:szCs w:val="28"/>
                <w:highlight w:val="none"/>
                <w:lang w:val="en-US" w:eastAsia="zh-CN"/>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145D6F0">
            <w:pPr>
              <w:spacing w:line="400" w:lineRule="exact"/>
              <w:jc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cs="Times New Roman"/>
                <w:color w:val="auto"/>
                <w:sz w:val="28"/>
                <w:szCs w:val="28"/>
                <w:highlight w:val="none"/>
                <w:lang w:val="en-US" w:eastAsia="zh-CN"/>
              </w:rPr>
              <w:t>8</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2242D3D">
            <w:pPr>
              <w:spacing w:line="400" w:lineRule="exact"/>
              <w:jc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cs="Times New Roman"/>
                <w:color w:val="auto"/>
                <w:sz w:val="28"/>
                <w:szCs w:val="28"/>
                <w:highlight w:val="none"/>
                <w:lang w:val="en-US" w:eastAsia="zh-CN"/>
              </w:rPr>
              <w:t>7</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BCA43F5">
            <w:pPr>
              <w:spacing w:line="40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cs="Times New Roman"/>
                <w:color w:val="auto"/>
                <w:sz w:val="28"/>
                <w:szCs w:val="28"/>
                <w:highlight w:val="none"/>
                <w:lang w:val="en-US" w:eastAsia="zh-CN"/>
              </w:rPr>
              <w:t>5.5</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70622CE9">
            <w:pPr>
              <w:spacing w:line="400" w:lineRule="exact"/>
              <w:jc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cs="Times New Roman"/>
                <w:color w:val="auto"/>
                <w:sz w:val="28"/>
                <w:szCs w:val="28"/>
                <w:highlight w:val="none"/>
                <w:lang w:val="en-US" w:eastAsia="zh-CN"/>
              </w:rPr>
              <w:t>5</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6415043">
            <w:pPr>
              <w:spacing w:line="400" w:lineRule="exact"/>
              <w:jc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cs="Times New Roman"/>
                <w:color w:val="auto"/>
                <w:sz w:val="28"/>
                <w:szCs w:val="28"/>
                <w:highlight w:val="none"/>
                <w:lang w:val="en-US" w:eastAsia="zh-CN"/>
              </w:rPr>
              <w:t>4</w:t>
            </w:r>
          </w:p>
        </w:tc>
      </w:tr>
      <w:tr w14:paraId="5516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33" w:hRule="atLeast"/>
        </w:trPr>
        <w:tc>
          <w:tcPr>
            <w:tcW w:w="2768" w:type="dxa"/>
            <w:tcBorders>
              <w:top w:val="single" w:color="auto" w:sz="4" w:space="0"/>
              <w:left w:val="single" w:color="auto" w:sz="4" w:space="0"/>
              <w:bottom w:val="single" w:color="auto" w:sz="4" w:space="0"/>
              <w:right w:val="single" w:color="auto" w:sz="4" w:space="0"/>
            </w:tcBorders>
            <w:noWrap w:val="0"/>
            <w:vAlign w:val="center"/>
          </w:tcPr>
          <w:p w14:paraId="3CF701A6">
            <w:pPr>
              <w:spacing w:line="30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中国高校人文社会科学研究优秀成果奖、广东省哲学社会科学优秀成果奖、霍英东基金奖</w:t>
            </w:r>
          </w:p>
        </w:tc>
        <w:tc>
          <w:tcPr>
            <w:tcW w:w="884" w:type="dxa"/>
            <w:tcBorders>
              <w:top w:val="single" w:color="auto" w:sz="4" w:space="0"/>
              <w:left w:val="single" w:color="auto" w:sz="4" w:space="0"/>
              <w:bottom w:val="single" w:color="auto" w:sz="4" w:space="0"/>
              <w:right w:val="single" w:color="auto" w:sz="4" w:space="0"/>
            </w:tcBorders>
            <w:noWrap w:val="0"/>
            <w:vAlign w:val="center"/>
          </w:tcPr>
          <w:p w14:paraId="1E9DDD01">
            <w:pPr>
              <w:spacing w:line="400" w:lineRule="exact"/>
              <w:jc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cs="Times New Roman"/>
                <w:color w:val="auto"/>
                <w:sz w:val="28"/>
                <w:szCs w:val="28"/>
                <w:highlight w:val="none"/>
                <w:lang w:val="en-US" w:eastAsia="zh-CN"/>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C48BB56">
            <w:pPr>
              <w:spacing w:line="400" w:lineRule="exact"/>
              <w:jc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cs="Times New Roman"/>
                <w:color w:val="auto"/>
                <w:sz w:val="28"/>
                <w:szCs w:val="28"/>
                <w:highlight w:val="none"/>
                <w:lang w:val="en-US" w:eastAsia="zh-CN"/>
              </w:rPr>
              <w:t>4</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3D64F0E7">
            <w:pPr>
              <w:spacing w:line="400" w:lineRule="exact"/>
              <w:jc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cs="Times New Roman"/>
                <w:color w:val="auto"/>
                <w:sz w:val="28"/>
                <w:szCs w:val="28"/>
                <w:highlight w:val="none"/>
                <w:lang w:val="en-US" w:eastAsia="zh-CN"/>
              </w:rPr>
              <w:t>3</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9D6C9BE">
            <w:pPr>
              <w:spacing w:line="40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cs="Times New Roman"/>
                <w:color w:val="auto"/>
                <w:sz w:val="28"/>
                <w:szCs w:val="28"/>
                <w:highlight w:val="none"/>
                <w:lang w:val="en-US" w:eastAsia="zh-CN"/>
              </w:rPr>
              <w:t>2.5</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0E8FB1C1">
            <w:pPr>
              <w:spacing w:line="400" w:lineRule="exact"/>
              <w:jc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cs="Times New Roman"/>
                <w:color w:val="auto"/>
                <w:sz w:val="28"/>
                <w:szCs w:val="28"/>
                <w:highlight w:val="none"/>
                <w:lang w:val="en-US" w:eastAsia="zh-CN"/>
              </w:rPr>
              <w:t>2</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A8383BE">
            <w:pPr>
              <w:spacing w:line="40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cs="Times New Roman"/>
                <w:color w:val="auto"/>
                <w:sz w:val="28"/>
                <w:szCs w:val="28"/>
                <w:highlight w:val="none"/>
                <w:lang w:val="en-US" w:eastAsia="zh-CN"/>
              </w:rPr>
              <w:t>1.5</w:t>
            </w:r>
          </w:p>
        </w:tc>
      </w:tr>
    </w:tbl>
    <w:p w14:paraId="01AD84AF">
      <w:pPr>
        <w:pStyle w:val="12"/>
        <w:keepNext w:val="0"/>
        <w:keepLines w:val="0"/>
        <w:pageBreakBefore w:val="0"/>
        <w:kinsoku/>
        <w:wordWrap/>
        <w:overflowPunct/>
        <w:topLinePunct w:val="0"/>
        <w:bidi w:val="0"/>
        <w:spacing w:line="600" w:lineRule="exact"/>
        <w:ind w:firstLine="640"/>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lang w:val="en-US" w:eastAsia="zh-CN"/>
        </w:rPr>
        <w:t>三</w:t>
      </w:r>
      <w:r>
        <w:rPr>
          <w:rFonts w:hint="default" w:ascii="Times New Roman" w:hAnsi="Times New Roman" w:eastAsia="黑体" w:cs="Times New Roman"/>
          <w:color w:val="auto"/>
        </w:rPr>
        <w:t>、申报材料内容</w:t>
      </w:r>
    </w:p>
    <w:p w14:paraId="1BD4EF7F">
      <w:pPr>
        <w:pStyle w:val="12"/>
        <w:keepNext w:val="0"/>
        <w:keepLines w:val="0"/>
        <w:pageBreakBefore w:val="0"/>
        <w:kinsoku/>
        <w:wordWrap/>
        <w:overflowPunct/>
        <w:topLinePunct w:val="0"/>
        <w:bidi w:val="0"/>
        <w:spacing w:line="600" w:lineRule="exact"/>
        <w:ind w:firstLine="419" w:firstLineChars="131"/>
        <w:textAlignment w:val="auto"/>
        <w:rPr>
          <w:rFonts w:hint="default" w:ascii="Times New Roman" w:hAnsi="Times New Roman" w:eastAsia="楷体_GB2312" w:cs="Times New Roman"/>
          <w:color w:val="auto"/>
          <w:lang w:eastAsia="zh-CN"/>
        </w:rPr>
      </w:pPr>
      <w:r>
        <w:rPr>
          <w:rFonts w:hint="default" w:ascii="Times New Roman" w:hAnsi="Times New Roman" w:eastAsia="楷体_GB2312" w:cs="Times New Roman"/>
          <w:color w:val="auto"/>
        </w:rPr>
        <w:t>（一）国家和省级配套项目提交材料</w:t>
      </w:r>
      <w:r>
        <w:rPr>
          <w:rFonts w:hint="default" w:ascii="Times New Roman" w:hAnsi="Times New Roman" w:eastAsia="楷体_GB2312" w:cs="Times New Roman"/>
          <w:color w:val="auto"/>
          <w:lang w:eastAsia="zh-CN"/>
        </w:rPr>
        <w:t>（纸质原件和电子版）</w:t>
      </w:r>
    </w:p>
    <w:p w14:paraId="1D311BE2">
      <w:pPr>
        <w:pStyle w:val="12"/>
        <w:keepNext w:val="0"/>
        <w:keepLines w:val="0"/>
        <w:pageBreakBefore w:val="0"/>
        <w:kinsoku/>
        <w:wordWrap/>
        <w:overflowPunct/>
        <w:topLinePunct w:val="0"/>
        <w:bidi w:val="0"/>
        <w:spacing w:line="600" w:lineRule="exact"/>
        <w:ind w:firstLine="640"/>
        <w:textAlignment w:val="auto"/>
        <w:rPr>
          <w:rFonts w:hint="default" w:ascii="Times New Roman" w:hAnsi="Times New Roman" w:cs="Times New Roman"/>
          <w:color w:val="auto"/>
        </w:rPr>
      </w:pPr>
      <w:r>
        <w:rPr>
          <w:rFonts w:hint="default" w:ascii="Times New Roman" w:hAnsi="Times New Roman" w:cs="Times New Roman"/>
          <w:color w:val="auto"/>
        </w:rPr>
        <w:t>1.《202</w:t>
      </w:r>
      <w:r>
        <w:rPr>
          <w:rFonts w:hint="default" w:ascii="Times New Roman" w:hAnsi="Times New Roman" w:cs="Times New Roman"/>
          <w:color w:val="auto"/>
          <w:lang w:val="en-US" w:eastAsia="zh-CN"/>
        </w:rPr>
        <w:t>5</w:t>
      </w:r>
      <w:r>
        <w:rPr>
          <w:rFonts w:hint="default" w:ascii="Times New Roman" w:hAnsi="Times New Roman" w:cs="Times New Roman"/>
          <w:color w:val="auto"/>
        </w:rPr>
        <w:t>年东莞市文化发展专项资金申报表（社科配套项目）》</w:t>
      </w:r>
      <w:r>
        <w:rPr>
          <w:rFonts w:hint="default" w:ascii="Times New Roman" w:hAnsi="Times New Roman" w:cs="Times New Roman"/>
          <w:color w:val="auto"/>
          <w:lang w:eastAsia="zh-CN"/>
        </w:rPr>
        <w:t>（附件</w:t>
      </w:r>
      <w:r>
        <w:rPr>
          <w:rFonts w:hint="default" w:ascii="Times New Roman" w:hAnsi="Times New Roman" w:cs="Times New Roman"/>
          <w:color w:val="auto"/>
          <w:lang w:val="en-US" w:eastAsia="zh-CN"/>
        </w:rPr>
        <w:t>2</w:t>
      </w:r>
      <w:r>
        <w:rPr>
          <w:rFonts w:hint="default" w:ascii="Times New Roman" w:hAnsi="Times New Roman" w:cs="Times New Roman"/>
          <w:color w:val="auto"/>
          <w:lang w:eastAsia="zh-CN"/>
        </w:rPr>
        <w:t>）</w:t>
      </w:r>
      <w:r>
        <w:rPr>
          <w:rFonts w:hint="default" w:ascii="Times New Roman" w:hAnsi="Times New Roman" w:cs="Times New Roman"/>
          <w:color w:val="auto"/>
        </w:rPr>
        <w:t>；</w:t>
      </w:r>
    </w:p>
    <w:p w14:paraId="74F3C469">
      <w:pPr>
        <w:pStyle w:val="12"/>
        <w:keepNext w:val="0"/>
        <w:keepLines w:val="0"/>
        <w:pageBreakBefore w:val="0"/>
        <w:kinsoku/>
        <w:wordWrap/>
        <w:overflowPunct/>
        <w:topLinePunct w:val="0"/>
        <w:bidi w:val="0"/>
        <w:spacing w:line="600" w:lineRule="exact"/>
        <w:ind w:firstLine="640"/>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2.《2025年东莞市文化发展专项资金申报汇总表（社科研究类）》</w:t>
      </w:r>
      <w:r>
        <w:rPr>
          <w:rFonts w:hint="default" w:ascii="Times New Roman" w:hAnsi="Times New Roman" w:cs="Times New Roman"/>
          <w:color w:val="auto"/>
          <w:lang w:eastAsia="zh-CN"/>
        </w:rPr>
        <w:t>（附件</w:t>
      </w:r>
      <w:r>
        <w:rPr>
          <w:rFonts w:hint="default" w:ascii="Times New Roman" w:hAnsi="Times New Roman" w:cs="Times New Roman"/>
          <w:color w:val="auto"/>
          <w:lang w:val="en-US" w:eastAsia="zh-CN"/>
        </w:rPr>
        <w:t>4</w:t>
      </w:r>
      <w:r>
        <w:rPr>
          <w:rFonts w:hint="default" w:ascii="Times New Roman" w:hAnsi="Times New Roman" w:cs="Times New Roman"/>
          <w:color w:val="auto"/>
          <w:lang w:eastAsia="zh-CN"/>
        </w:rPr>
        <w:t>）</w:t>
      </w:r>
      <w:r>
        <w:rPr>
          <w:rFonts w:hint="default" w:ascii="Times New Roman" w:hAnsi="Times New Roman" w:cs="Times New Roman"/>
          <w:color w:val="auto"/>
        </w:rPr>
        <w:t>；</w:t>
      </w:r>
    </w:p>
    <w:p w14:paraId="3FD9810F">
      <w:pPr>
        <w:pStyle w:val="12"/>
        <w:keepNext w:val="0"/>
        <w:keepLines w:val="0"/>
        <w:pageBreakBefore w:val="0"/>
        <w:kinsoku/>
        <w:wordWrap/>
        <w:overflowPunct/>
        <w:topLinePunct w:val="0"/>
        <w:bidi w:val="0"/>
        <w:spacing w:line="600" w:lineRule="exact"/>
        <w:ind w:firstLine="640"/>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3</w:t>
      </w:r>
      <w:r>
        <w:rPr>
          <w:rFonts w:hint="default" w:ascii="Times New Roman" w:hAnsi="Times New Roman" w:cs="Times New Roman"/>
          <w:color w:val="auto"/>
        </w:rPr>
        <w:t>.申报项目申报书、立项证书、</w:t>
      </w:r>
      <w:r>
        <w:rPr>
          <w:rFonts w:hint="default" w:ascii="Times New Roman" w:hAnsi="Times New Roman" w:cs="Times New Roman"/>
          <w:color w:val="auto"/>
          <w:lang w:eastAsia="zh-CN"/>
        </w:rPr>
        <w:t>结项证书、</w:t>
      </w:r>
      <w:r>
        <w:rPr>
          <w:rFonts w:hint="default" w:ascii="Times New Roman" w:hAnsi="Times New Roman" w:cs="Times New Roman"/>
          <w:color w:val="auto"/>
        </w:rPr>
        <w:t>协议书等佐证材料；</w:t>
      </w:r>
    </w:p>
    <w:p w14:paraId="2224940A">
      <w:pPr>
        <w:pStyle w:val="12"/>
        <w:keepNext w:val="0"/>
        <w:keepLines w:val="0"/>
        <w:pageBreakBefore w:val="0"/>
        <w:kinsoku/>
        <w:wordWrap/>
        <w:overflowPunct/>
        <w:topLinePunct w:val="0"/>
        <w:bidi w:val="0"/>
        <w:spacing w:line="600" w:lineRule="exact"/>
        <w:ind w:firstLine="640"/>
        <w:textAlignment w:val="auto"/>
        <w:rPr>
          <w:rFonts w:hint="default" w:ascii="Times New Roman" w:hAnsi="Times New Roman" w:eastAsia="仿宋_GB2312" w:cs="Times New Roman"/>
          <w:color w:val="auto"/>
          <w:lang w:eastAsia="zh-CN"/>
        </w:rPr>
      </w:pPr>
      <w:r>
        <w:rPr>
          <w:rFonts w:hint="default" w:ascii="Times New Roman" w:hAnsi="Times New Roman" w:cs="Times New Roman"/>
          <w:color w:val="auto"/>
          <w:lang w:val="en-US" w:eastAsia="zh-CN"/>
        </w:rPr>
        <w:t>4</w:t>
      </w:r>
      <w:r>
        <w:rPr>
          <w:rFonts w:hint="default" w:ascii="Times New Roman" w:hAnsi="Times New Roman" w:cs="Times New Roman"/>
          <w:color w:val="auto"/>
        </w:rPr>
        <w:t>.相关研究成果文本</w:t>
      </w:r>
      <w:r>
        <w:rPr>
          <w:rFonts w:hint="default" w:ascii="Times New Roman" w:hAnsi="Times New Roman" w:cs="Times New Roman"/>
          <w:color w:val="auto"/>
          <w:lang w:eastAsia="zh-CN"/>
        </w:rPr>
        <w:t>；</w:t>
      </w:r>
    </w:p>
    <w:p w14:paraId="18D45E01">
      <w:pPr>
        <w:pStyle w:val="12"/>
        <w:keepNext w:val="0"/>
        <w:keepLines w:val="0"/>
        <w:pageBreakBefore w:val="0"/>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cs="Times New Roman"/>
          <w:color w:val="auto"/>
          <w:lang w:val="en-US" w:eastAsia="zh-CN"/>
        </w:rPr>
        <w:t>5.</w:t>
      </w:r>
      <w:r>
        <w:rPr>
          <w:rFonts w:hint="default" w:ascii="Times New Roman" w:hAnsi="Times New Roman" w:eastAsia="仿宋_GB2312" w:cs="Times New Roman"/>
          <w:color w:val="auto"/>
          <w:sz w:val="32"/>
          <w:szCs w:val="32"/>
          <w:shd w:val="clear" w:color="auto" w:fill="FFFFFF"/>
        </w:rPr>
        <w:t>属个人申报的，</w:t>
      </w:r>
      <w:r>
        <w:rPr>
          <w:rFonts w:hint="default" w:ascii="Times New Roman" w:hAnsi="Times New Roman" w:cs="Times New Roman"/>
          <w:color w:val="auto"/>
          <w:lang w:val="en-US" w:eastAsia="zh-CN"/>
        </w:rPr>
        <w:t>东莞户籍人员须提供户籍复印件；非东莞户籍人员须提供连续缴满1年社保的相关佐证材料（社保清单）。</w:t>
      </w:r>
      <w:r>
        <w:rPr>
          <w:rFonts w:hint="default" w:ascii="Times New Roman" w:hAnsi="Times New Roman" w:eastAsia="仿宋_GB2312" w:cs="Times New Roman"/>
          <w:color w:val="auto"/>
          <w:sz w:val="32"/>
          <w:szCs w:val="32"/>
          <w:shd w:val="clear" w:color="auto" w:fill="FFFFFF"/>
        </w:rPr>
        <w:t>属</w:t>
      </w:r>
      <w:r>
        <w:rPr>
          <w:rFonts w:hint="default" w:ascii="Times New Roman" w:hAnsi="Times New Roman" w:cs="Times New Roman"/>
          <w:color w:val="auto"/>
          <w:sz w:val="32"/>
          <w:szCs w:val="32"/>
          <w:shd w:val="clear" w:color="auto" w:fill="FFFFFF"/>
          <w:lang w:eastAsia="zh-CN"/>
        </w:rPr>
        <w:t>企业</w:t>
      </w:r>
      <w:r>
        <w:rPr>
          <w:rFonts w:hint="default" w:ascii="Times New Roman" w:hAnsi="Times New Roman" w:eastAsia="仿宋_GB2312" w:cs="Times New Roman"/>
          <w:color w:val="auto"/>
          <w:sz w:val="32"/>
          <w:szCs w:val="32"/>
          <w:shd w:val="clear" w:color="auto" w:fill="FFFFFF"/>
        </w:rPr>
        <w:t>申报的，需提供</w:t>
      </w:r>
      <w:r>
        <w:rPr>
          <w:rFonts w:hint="default" w:ascii="Times New Roman" w:hAnsi="Times New Roman" w:cs="Times New Roman"/>
          <w:color w:val="auto"/>
          <w:sz w:val="32"/>
          <w:szCs w:val="32"/>
          <w:shd w:val="clear" w:color="auto" w:fill="FFFFFF"/>
          <w:lang w:eastAsia="zh-CN"/>
        </w:rPr>
        <w:t>企业</w:t>
      </w:r>
      <w:r>
        <w:rPr>
          <w:rFonts w:hint="default" w:ascii="Times New Roman" w:hAnsi="Times New Roman" w:cs="Times New Roman"/>
          <w:color w:val="auto"/>
        </w:rPr>
        <w:t>法人证书、经营许可证等生产资质证明</w:t>
      </w:r>
      <w:r>
        <w:rPr>
          <w:rFonts w:hint="default" w:ascii="Times New Roman" w:hAnsi="Times New Roman" w:eastAsia="仿宋_GB2312" w:cs="Times New Roman"/>
          <w:color w:val="auto"/>
          <w:sz w:val="32"/>
          <w:szCs w:val="32"/>
          <w:shd w:val="clear" w:color="auto" w:fill="FFFFFF"/>
        </w:rPr>
        <w:t>。</w:t>
      </w:r>
    </w:p>
    <w:p w14:paraId="75998807">
      <w:pPr>
        <w:pStyle w:val="12"/>
        <w:keepNext w:val="0"/>
        <w:keepLines w:val="0"/>
        <w:pageBreakBefore w:val="0"/>
        <w:kinsoku/>
        <w:wordWrap/>
        <w:overflowPunct/>
        <w:topLinePunct w:val="0"/>
        <w:bidi w:val="0"/>
        <w:spacing w:line="600" w:lineRule="exact"/>
        <w:ind w:firstLine="419" w:firstLineChars="131"/>
        <w:textAlignment w:val="auto"/>
        <w:rPr>
          <w:rFonts w:hint="default" w:ascii="Times New Roman" w:hAnsi="Times New Roman" w:eastAsia="楷体_GB2312" w:cs="Times New Roman"/>
          <w:color w:val="auto"/>
        </w:rPr>
      </w:pPr>
      <w:r>
        <w:rPr>
          <w:rFonts w:hint="default" w:ascii="Times New Roman" w:hAnsi="Times New Roman" w:eastAsia="楷体_GB2312" w:cs="Times New Roman"/>
          <w:color w:val="auto"/>
        </w:rPr>
        <w:t>（二）社科优秀成果提交材料</w:t>
      </w:r>
      <w:r>
        <w:rPr>
          <w:rFonts w:hint="default" w:ascii="Times New Roman" w:hAnsi="Times New Roman" w:eastAsia="楷体_GB2312" w:cs="Times New Roman"/>
          <w:color w:val="auto"/>
          <w:lang w:eastAsia="zh-CN"/>
        </w:rPr>
        <w:t>（纸质原件和电子版）</w:t>
      </w:r>
    </w:p>
    <w:p w14:paraId="150A9FED">
      <w:pPr>
        <w:pStyle w:val="12"/>
        <w:keepNext w:val="0"/>
        <w:keepLines w:val="0"/>
        <w:pageBreakBefore w:val="0"/>
        <w:kinsoku/>
        <w:wordWrap/>
        <w:overflowPunct/>
        <w:topLinePunct w:val="0"/>
        <w:bidi w:val="0"/>
        <w:spacing w:line="600" w:lineRule="exact"/>
        <w:ind w:firstLine="640"/>
        <w:textAlignment w:val="auto"/>
        <w:rPr>
          <w:rFonts w:hint="default" w:ascii="Times New Roman" w:hAnsi="Times New Roman" w:cs="Times New Roman"/>
          <w:color w:val="auto"/>
        </w:rPr>
      </w:pPr>
      <w:r>
        <w:rPr>
          <w:rFonts w:hint="default" w:ascii="Times New Roman" w:hAnsi="Times New Roman" w:cs="Times New Roman"/>
          <w:color w:val="auto"/>
        </w:rPr>
        <w:t>1.《202</w:t>
      </w:r>
      <w:r>
        <w:rPr>
          <w:rFonts w:hint="default" w:ascii="Times New Roman" w:hAnsi="Times New Roman" w:cs="Times New Roman"/>
          <w:color w:val="auto"/>
          <w:lang w:val="en-US" w:eastAsia="zh-CN"/>
        </w:rPr>
        <w:t>5</w:t>
      </w:r>
      <w:r>
        <w:rPr>
          <w:rFonts w:hint="default" w:ascii="Times New Roman" w:hAnsi="Times New Roman" w:cs="Times New Roman"/>
          <w:color w:val="auto"/>
        </w:rPr>
        <w:t>年东莞市文化发展专项资金申报表（社科优秀成果）》</w:t>
      </w:r>
      <w:r>
        <w:rPr>
          <w:rFonts w:hint="default" w:ascii="Times New Roman" w:hAnsi="Times New Roman" w:cs="Times New Roman"/>
          <w:color w:val="auto"/>
          <w:lang w:eastAsia="zh-CN"/>
        </w:rPr>
        <w:t>（附件</w:t>
      </w:r>
      <w:r>
        <w:rPr>
          <w:rFonts w:hint="default" w:ascii="Times New Roman" w:hAnsi="Times New Roman" w:cs="Times New Roman"/>
          <w:color w:val="auto"/>
          <w:lang w:val="en-US" w:eastAsia="zh-CN"/>
        </w:rPr>
        <w:t>3</w:t>
      </w:r>
      <w:r>
        <w:rPr>
          <w:rFonts w:hint="default" w:ascii="Times New Roman" w:hAnsi="Times New Roman" w:cs="Times New Roman"/>
          <w:color w:val="auto"/>
          <w:lang w:eastAsia="zh-CN"/>
        </w:rPr>
        <w:t>）</w:t>
      </w:r>
      <w:r>
        <w:rPr>
          <w:rFonts w:hint="default" w:ascii="Times New Roman" w:hAnsi="Times New Roman" w:cs="Times New Roman"/>
          <w:color w:val="auto"/>
        </w:rPr>
        <w:t>；</w:t>
      </w:r>
    </w:p>
    <w:p w14:paraId="3D2CDA35">
      <w:pPr>
        <w:pStyle w:val="12"/>
        <w:keepNext w:val="0"/>
        <w:keepLines w:val="0"/>
        <w:pageBreakBefore w:val="0"/>
        <w:kinsoku/>
        <w:wordWrap/>
        <w:overflowPunct/>
        <w:topLinePunct w:val="0"/>
        <w:bidi w:val="0"/>
        <w:spacing w:line="600" w:lineRule="exact"/>
        <w:ind w:firstLine="640"/>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2.《2025年东莞市文化发展专项资金申报汇总表（社科研究类）》</w:t>
      </w:r>
      <w:r>
        <w:rPr>
          <w:rFonts w:hint="default" w:ascii="Times New Roman" w:hAnsi="Times New Roman" w:cs="Times New Roman"/>
          <w:color w:val="auto"/>
          <w:lang w:eastAsia="zh-CN"/>
        </w:rPr>
        <w:t>（附件</w:t>
      </w:r>
      <w:r>
        <w:rPr>
          <w:rFonts w:hint="default" w:ascii="Times New Roman" w:hAnsi="Times New Roman" w:cs="Times New Roman"/>
          <w:color w:val="auto"/>
          <w:lang w:val="en-US" w:eastAsia="zh-CN"/>
        </w:rPr>
        <w:t>4</w:t>
      </w:r>
      <w:r>
        <w:rPr>
          <w:rFonts w:hint="default" w:ascii="Times New Roman" w:hAnsi="Times New Roman" w:cs="Times New Roman"/>
          <w:color w:val="auto"/>
          <w:lang w:eastAsia="zh-CN"/>
        </w:rPr>
        <w:t>）</w:t>
      </w:r>
      <w:r>
        <w:rPr>
          <w:rFonts w:hint="default" w:ascii="Times New Roman" w:hAnsi="Times New Roman" w:cs="Times New Roman"/>
          <w:color w:val="auto"/>
        </w:rPr>
        <w:t>；</w:t>
      </w:r>
    </w:p>
    <w:p w14:paraId="6AFD3C35">
      <w:pPr>
        <w:pStyle w:val="12"/>
        <w:keepNext w:val="0"/>
        <w:keepLines w:val="0"/>
        <w:pageBreakBefore w:val="0"/>
        <w:kinsoku/>
        <w:wordWrap/>
        <w:overflowPunct/>
        <w:topLinePunct w:val="0"/>
        <w:bidi w:val="0"/>
        <w:spacing w:line="600" w:lineRule="exact"/>
        <w:ind w:left="638" w:leftChars="304" w:firstLine="0" w:firstLineChars="0"/>
        <w:textAlignment w:val="auto"/>
        <w:rPr>
          <w:rFonts w:hint="default" w:ascii="Times New Roman" w:hAnsi="Times New Roman" w:cs="Times New Roman"/>
          <w:color w:val="auto"/>
          <w:lang w:eastAsia="zh-CN"/>
        </w:rPr>
      </w:pPr>
      <w:r>
        <w:rPr>
          <w:rFonts w:hint="default" w:ascii="Times New Roman" w:hAnsi="Times New Roman" w:cs="Times New Roman"/>
          <w:color w:val="auto"/>
          <w:lang w:val="en-US" w:eastAsia="zh-CN"/>
        </w:rPr>
        <w:t>3</w:t>
      </w:r>
      <w:r>
        <w:rPr>
          <w:rFonts w:hint="default" w:ascii="Times New Roman" w:hAnsi="Times New Roman" w:cs="Times New Roman"/>
          <w:color w:val="auto"/>
        </w:rPr>
        <w:t>.申报项目获得符合规定奖励的证明材料（获奖证书等）；</w:t>
      </w:r>
      <w:r>
        <w:rPr>
          <w:rFonts w:hint="default" w:ascii="Times New Roman" w:hAnsi="Times New Roman" w:cs="Times New Roman"/>
          <w:color w:val="auto"/>
          <w:lang w:val="en-US" w:eastAsia="zh-CN"/>
        </w:rPr>
        <w:t>4</w:t>
      </w:r>
      <w:r>
        <w:rPr>
          <w:rFonts w:hint="default" w:ascii="Times New Roman" w:hAnsi="Times New Roman" w:cs="Times New Roman"/>
          <w:color w:val="auto"/>
        </w:rPr>
        <w:t>.研究成果文本</w:t>
      </w:r>
      <w:r>
        <w:rPr>
          <w:rFonts w:hint="default" w:ascii="Times New Roman" w:hAnsi="Times New Roman" w:cs="Times New Roman"/>
          <w:color w:val="auto"/>
          <w:lang w:eastAsia="zh-CN"/>
        </w:rPr>
        <w:t>；</w:t>
      </w:r>
    </w:p>
    <w:p w14:paraId="4CF5C3A2">
      <w:pPr>
        <w:pStyle w:val="12"/>
        <w:keepNext w:val="0"/>
        <w:keepLines w:val="0"/>
        <w:pageBreakBefore w:val="0"/>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cs="Times New Roman"/>
          <w:color w:val="auto"/>
          <w:lang w:val="en-US" w:eastAsia="zh-CN"/>
        </w:rPr>
        <w:t>5.</w:t>
      </w:r>
      <w:r>
        <w:rPr>
          <w:rFonts w:hint="default" w:ascii="Times New Roman" w:hAnsi="Times New Roman" w:eastAsia="仿宋_GB2312" w:cs="Times New Roman"/>
          <w:color w:val="auto"/>
          <w:sz w:val="32"/>
          <w:szCs w:val="32"/>
          <w:shd w:val="clear" w:color="auto" w:fill="FFFFFF"/>
        </w:rPr>
        <w:t>属个人申报的，</w:t>
      </w:r>
      <w:r>
        <w:rPr>
          <w:rFonts w:hint="default" w:ascii="Times New Roman" w:hAnsi="Times New Roman" w:cs="Times New Roman"/>
          <w:color w:val="auto"/>
          <w:lang w:val="en-US" w:eastAsia="zh-CN"/>
        </w:rPr>
        <w:t>东莞户籍人员须提供户籍复印件；非东莞户籍人员须提供连续缴满1年社保的相关佐证材料（社保清单）。</w:t>
      </w:r>
      <w:r>
        <w:rPr>
          <w:rFonts w:hint="default" w:ascii="Times New Roman" w:hAnsi="Times New Roman" w:eastAsia="仿宋_GB2312" w:cs="Times New Roman"/>
          <w:color w:val="auto"/>
          <w:sz w:val="32"/>
          <w:szCs w:val="32"/>
          <w:shd w:val="clear" w:color="auto" w:fill="FFFFFF"/>
        </w:rPr>
        <w:t>属</w:t>
      </w:r>
      <w:r>
        <w:rPr>
          <w:rFonts w:hint="default" w:ascii="Times New Roman" w:hAnsi="Times New Roman" w:cs="Times New Roman"/>
          <w:color w:val="auto"/>
          <w:sz w:val="32"/>
          <w:szCs w:val="32"/>
          <w:shd w:val="clear" w:color="auto" w:fill="FFFFFF"/>
          <w:lang w:eastAsia="zh-CN"/>
        </w:rPr>
        <w:t>企业</w:t>
      </w:r>
      <w:r>
        <w:rPr>
          <w:rFonts w:hint="default" w:ascii="Times New Roman" w:hAnsi="Times New Roman" w:eastAsia="仿宋_GB2312" w:cs="Times New Roman"/>
          <w:color w:val="auto"/>
          <w:sz w:val="32"/>
          <w:szCs w:val="32"/>
          <w:shd w:val="clear" w:color="auto" w:fill="FFFFFF"/>
        </w:rPr>
        <w:t>申报的，需提供</w:t>
      </w:r>
      <w:r>
        <w:rPr>
          <w:rFonts w:hint="default" w:ascii="Times New Roman" w:hAnsi="Times New Roman" w:cs="Times New Roman"/>
          <w:color w:val="auto"/>
          <w:sz w:val="32"/>
          <w:szCs w:val="32"/>
          <w:shd w:val="clear" w:color="auto" w:fill="FFFFFF"/>
          <w:lang w:eastAsia="zh-CN"/>
        </w:rPr>
        <w:t>企业</w:t>
      </w:r>
      <w:r>
        <w:rPr>
          <w:rFonts w:hint="default" w:ascii="Times New Roman" w:hAnsi="Times New Roman" w:cs="Times New Roman"/>
          <w:color w:val="auto"/>
        </w:rPr>
        <w:t>法人证书、经营许可证等生产资质证明</w:t>
      </w:r>
      <w:r>
        <w:rPr>
          <w:rFonts w:hint="default" w:ascii="Times New Roman" w:hAnsi="Times New Roman" w:eastAsia="仿宋_GB2312" w:cs="Times New Roman"/>
          <w:color w:val="auto"/>
          <w:sz w:val="32"/>
          <w:szCs w:val="32"/>
          <w:shd w:val="clear" w:color="auto" w:fill="FFFFFF"/>
        </w:rPr>
        <w:t>。</w:t>
      </w:r>
    </w:p>
    <w:p w14:paraId="16FC5AFA">
      <w:pPr>
        <w:pStyle w:val="12"/>
        <w:keepNext w:val="0"/>
        <w:keepLines w:val="0"/>
        <w:pageBreakBefore w:val="0"/>
        <w:kinsoku/>
        <w:wordWrap/>
        <w:overflowPunct/>
        <w:topLinePunct w:val="0"/>
        <w:bidi w:val="0"/>
        <w:spacing w:line="600" w:lineRule="exact"/>
        <w:ind w:firstLine="640"/>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lang w:val="en-US" w:eastAsia="zh-CN"/>
        </w:rPr>
        <w:t>四</w:t>
      </w:r>
      <w:r>
        <w:rPr>
          <w:rFonts w:hint="default" w:ascii="Times New Roman" w:hAnsi="Times New Roman" w:eastAsia="黑体" w:cs="Times New Roman"/>
          <w:color w:val="auto"/>
        </w:rPr>
        <w:t>、申报材料报送要求</w:t>
      </w:r>
    </w:p>
    <w:p w14:paraId="59C014D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（一）</w:t>
      </w:r>
      <w:r>
        <w:rPr>
          <w:rFonts w:hint="default" w:ascii="Times New Roman" w:hAnsi="Times New Roman" w:eastAsia="仿宋_GB2312" w:cs="Times New Roman"/>
          <w:color w:val="auto"/>
          <w:sz w:val="32"/>
          <w:szCs w:val="32"/>
          <w:lang w:eastAsia="zh-CN"/>
        </w:rPr>
        <w:t>从</w:t>
      </w:r>
      <w:r>
        <w:rPr>
          <w:rFonts w:hint="default" w:ascii="Times New Roman" w:hAnsi="Times New Roman" w:eastAsia="仿宋_GB2312" w:cs="Times New Roman"/>
          <w:color w:val="auto"/>
          <w:sz w:val="32"/>
          <w:szCs w:val="32"/>
        </w:rPr>
        <w:t>东莞社科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rPr>
        <w:t>http://dgsk.dg.gov.cn/dgsk/index.shtml</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下载相关申报表，填写完整后打印提交，请勿直接手写。</w:t>
      </w:r>
    </w:p>
    <w:p w14:paraId="55C4D8F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（二）纸质材料一式</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份，</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"mailto:对应电子文档材料发送至邮箱sklxsbkt@dg.gov.cn" </w:instrText>
      </w:r>
      <w:r>
        <w:rPr>
          <w:rFonts w:hint="default" w:ascii="Times New Roman" w:hAnsi="Times New Roman" w:cs="Times New Roman"/>
          <w:color w:val="auto"/>
        </w:rPr>
        <w:fldChar w:fldCharType="separate"/>
      </w:r>
      <w:r>
        <w:rPr>
          <w:rFonts w:hint="default" w:ascii="Times New Roman" w:hAnsi="Times New Roman" w:eastAsia="仿宋_GB2312" w:cs="Times New Roman"/>
          <w:color w:val="auto"/>
          <w:sz w:val="32"/>
          <w:szCs w:val="32"/>
        </w:rPr>
        <w:t>对应电子文档材料</w:t>
      </w:r>
      <w:r>
        <w:rPr>
          <w:rFonts w:hint="default" w:ascii="Times New Roman" w:hAnsi="Times New Roman" w:eastAsia="仿宋_GB2312" w:cs="Times New Roman"/>
          <w:color w:val="auto"/>
          <w:sz w:val="32"/>
        </w:rPr>
        <w:t>发送至邮箱</w:t>
      </w:r>
      <w:r>
        <w:rPr>
          <w:rFonts w:hint="default" w:ascii="Times New Roman" w:hAnsi="Times New Roman" w:eastAsia="仿宋_GB2312" w:cs="Times New Roman"/>
          <w:color w:val="auto"/>
          <w:sz w:val="32"/>
          <w:szCs w:val="32"/>
        </w:rPr>
        <w:t>sklxsbkt@dg.gov.cn</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t>。以单位名义申报的，须在申报材料上加盖单位公章；以个人名义申报的，由申报人签字确认加按手指模。</w:t>
      </w:r>
    </w:p>
    <w:p w14:paraId="1E899F31">
      <w:pPr>
        <w:keepNext w:val="0"/>
        <w:keepLines w:val="0"/>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szCs w:val="32"/>
        </w:rPr>
        <w:t>（三）提交申报材料时，需向受理单位出示相关证件原件，由受理单位验后退回，收复印件。其中，申报配套项目的</w:t>
      </w:r>
      <w:r>
        <w:rPr>
          <w:rFonts w:hint="default" w:ascii="Times New Roman" w:hAnsi="Times New Roman" w:eastAsia="仿宋_GB2312" w:cs="Times New Roman"/>
          <w:color w:val="auto"/>
          <w:sz w:val="32"/>
          <w:szCs w:val="32"/>
          <w:lang w:eastAsia="zh-CN"/>
        </w:rPr>
        <w:t>结项</w:t>
      </w:r>
      <w:r>
        <w:rPr>
          <w:rFonts w:hint="default" w:ascii="Times New Roman" w:hAnsi="Times New Roman" w:eastAsia="仿宋_GB2312" w:cs="Times New Roman"/>
          <w:color w:val="auto"/>
          <w:sz w:val="32"/>
          <w:szCs w:val="32"/>
        </w:rPr>
        <w:t>文件，以及获奖证书、证明文件等复印件，须由受理单位加具“复印件与原件一致”的意见并加盖公章，否则视为无效。所有申报材料概不退还。</w:t>
      </w:r>
    </w:p>
    <w:p w14:paraId="3236A0F6">
      <w:pPr>
        <w:keepNext w:val="0"/>
        <w:keepLines w:val="0"/>
        <w:pageBreakBefore w:val="0"/>
        <w:kinsoku/>
        <w:wordWrap/>
        <w:overflowPunct/>
        <w:topLinePunct w:val="0"/>
        <w:bidi w:val="0"/>
        <w:spacing w:line="600" w:lineRule="exact"/>
        <w:ind w:firstLine="640" w:firstLineChars="200"/>
        <w:textAlignment w:val="auto"/>
        <w:rPr>
          <w:rFonts w:hint="eastAsia"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五</w:t>
      </w:r>
      <w:r>
        <w:rPr>
          <w:rFonts w:hint="default" w:ascii="Times New Roman" w:hAnsi="Times New Roman" w:eastAsia="黑体" w:cs="Times New Roman"/>
          <w:color w:val="auto"/>
          <w:sz w:val="32"/>
          <w:szCs w:val="32"/>
        </w:rPr>
        <w:t>、</w:t>
      </w:r>
      <w:r>
        <w:rPr>
          <w:rFonts w:hint="eastAsia" w:ascii="Times New Roman" w:hAnsi="Times New Roman" w:eastAsia="黑体" w:cs="Times New Roman"/>
          <w:color w:val="auto"/>
          <w:sz w:val="32"/>
          <w:szCs w:val="32"/>
          <w:lang w:eastAsia="zh-CN"/>
        </w:rPr>
        <w:t>审批安排</w:t>
      </w:r>
    </w:p>
    <w:p w14:paraId="0A11282D">
      <w:pPr>
        <w:keepNext w:val="0"/>
        <w:keepLines w:val="0"/>
        <w:pageBreakBefore w:val="0"/>
        <w:kinsoku/>
        <w:wordWrap/>
        <w:overflowPunct/>
        <w:topLinePunct w:val="0"/>
        <w:bidi w:val="0"/>
        <w:spacing w:line="600" w:lineRule="exact"/>
        <w:ind w:firstLine="480" w:firstLineChars="150"/>
        <w:textAlignment w:val="auto"/>
        <w:rPr>
          <w:rFonts w:hint="eastAsia"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rPr>
        <w:t>（</w:t>
      </w:r>
      <w:r>
        <w:rPr>
          <w:rFonts w:hint="eastAsia" w:ascii="Times New Roman" w:hAnsi="Times New Roman" w:eastAsia="楷体_GB2312" w:cs="Times New Roman"/>
          <w:color w:val="auto"/>
          <w:sz w:val="32"/>
          <w:szCs w:val="32"/>
          <w:lang w:eastAsia="zh-CN"/>
        </w:rPr>
        <w:t>一</w:t>
      </w:r>
      <w:r>
        <w:rPr>
          <w:rFonts w:hint="default" w:ascii="Times New Roman" w:hAnsi="Times New Roman" w:eastAsia="楷体_GB2312" w:cs="Times New Roman"/>
          <w:color w:val="auto"/>
          <w:sz w:val="32"/>
          <w:szCs w:val="32"/>
        </w:rPr>
        <w:t>）</w:t>
      </w:r>
      <w:r>
        <w:rPr>
          <w:rFonts w:hint="eastAsia" w:ascii="Times New Roman" w:hAnsi="Times New Roman" w:eastAsia="楷体_GB2312" w:cs="Times New Roman"/>
          <w:color w:val="auto"/>
          <w:sz w:val="32"/>
          <w:szCs w:val="32"/>
          <w:lang w:eastAsia="zh-CN"/>
        </w:rPr>
        <w:t>审批程序</w:t>
      </w:r>
    </w:p>
    <w:p w14:paraId="1505A6E8">
      <w:pPr>
        <w:keepNext w:val="0"/>
        <w:keepLines w:val="0"/>
        <w:pageBreakBefore w:val="0"/>
        <w:kinsoku/>
        <w:wordWrap/>
        <w:overflowPunct/>
        <w:topLinePunct w:val="0"/>
        <w:bidi w:val="0"/>
        <w:spacing w:line="600" w:lineRule="exact"/>
        <w:ind w:firstLine="480" w:firstLineChars="15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按照《东莞市文化发展专项资金管理办法》，包括以下程序：项目申报—材料审核—专家评审—查重查违</w:t>
      </w:r>
      <w:r>
        <w:rPr>
          <w:rFonts w:hint="eastAsia" w:ascii="Times New Roman" w:hAnsi="Times New Roman" w:eastAsia="仿宋_GB2312" w:cs="Times New Roman"/>
          <w:color w:val="auto"/>
          <w:kern w:val="0"/>
          <w:sz w:val="32"/>
          <w:szCs w:val="32"/>
          <w:lang w:val="en-US" w:eastAsia="zh-CN" w:bidi="ar-SA"/>
        </w:rPr>
        <w:t>（</w:t>
      </w:r>
      <w:r>
        <w:rPr>
          <w:rFonts w:hint="default" w:ascii="Times New Roman" w:hAnsi="Times New Roman" w:eastAsia="仿宋_GB2312" w:cs="Times New Roman"/>
          <w:color w:val="auto"/>
          <w:kern w:val="0"/>
          <w:sz w:val="32"/>
          <w:szCs w:val="32"/>
          <w:lang w:val="en-US" w:eastAsia="zh-CN" w:bidi="ar-SA"/>
        </w:rPr>
        <w:t>征求相关单位意见</w:t>
      </w:r>
      <w:r>
        <w:rPr>
          <w:rFonts w:hint="eastAsia" w:ascii="Times New Roman" w:hAnsi="Times New Roman" w:eastAsia="仿宋_GB2312" w:cs="Times New Roman"/>
          <w:color w:val="auto"/>
          <w:kern w:val="0"/>
          <w:sz w:val="32"/>
          <w:szCs w:val="32"/>
          <w:lang w:val="en-US" w:eastAsia="zh-CN" w:bidi="ar-SA"/>
        </w:rPr>
        <w:t>）</w:t>
      </w:r>
      <w:r>
        <w:rPr>
          <w:rFonts w:hint="default" w:ascii="Times New Roman" w:hAnsi="Times New Roman" w:eastAsia="仿宋_GB2312" w:cs="Times New Roman"/>
          <w:color w:val="auto"/>
          <w:kern w:val="0"/>
          <w:sz w:val="32"/>
          <w:szCs w:val="32"/>
          <w:lang w:val="en-US" w:eastAsia="zh-CN" w:bidi="ar-SA"/>
        </w:rPr>
        <w:t>—</w:t>
      </w:r>
      <w:r>
        <w:rPr>
          <w:rFonts w:hint="eastAsia" w:ascii="Times New Roman" w:hAnsi="Times New Roman" w:eastAsia="仿宋_GB2312" w:cs="Times New Roman"/>
          <w:color w:val="auto"/>
          <w:kern w:val="0"/>
          <w:sz w:val="32"/>
          <w:szCs w:val="32"/>
          <w:lang w:val="en-US" w:eastAsia="zh-CN" w:bidi="ar-SA"/>
        </w:rPr>
        <w:t>市</w:t>
      </w:r>
      <w:r>
        <w:rPr>
          <w:rFonts w:hint="default" w:ascii="Times New Roman" w:hAnsi="Times New Roman" w:eastAsia="仿宋_GB2312" w:cs="Times New Roman"/>
          <w:color w:val="auto"/>
          <w:kern w:val="0"/>
          <w:sz w:val="32"/>
          <w:szCs w:val="32"/>
          <w:lang w:val="en-US" w:eastAsia="zh-CN" w:bidi="ar-SA"/>
        </w:rPr>
        <w:t>社科联审议—市委宣传部审议—公示—市政府审定—拨付资助经费。</w:t>
      </w:r>
    </w:p>
    <w:p w14:paraId="251FC319">
      <w:pPr>
        <w:keepNext w:val="0"/>
        <w:keepLines w:val="0"/>
        <w:pageBreakBefore w:val="0"/>
        <w:kinsoku/>
        <w:wordWrap/>
        <w:overflowPunct/>
        <w:topLinePunct w:val="0"/>
        <w:bidi w:val="0"/>
        <w:spacing w:line="600" w:lineRule="exact"/>
        <w:ind w:firstLine="480" w:firstLineChars="150"/>
        <w:textAlignment w:val="auto"/>
        <w:rPr>
          <w:rFonts w:hint="default" w:ascii="Times New Roman" w:hAnsi="Times New Roman" w:eastAsia="楷体_GB2312" w:cs="Times New Roman"/>
          <w:color w:val="auto"/>
          <w:sz w:val="32"/>
        </w:rPr>
      </w:pPr>
      <w:r>
        <w:rPr>
          <w:rFonts w:hint="default" w:ascii="Times New Roman" w:hAnsi="Times New Roman" w:eastAsia="楷体_GB2312" w:cs="Times New Roman"/>
          <w:color w:val="auto"/>
          <w:sz w:val="32"/>
          <w:szCs w:val="32"/>
        </w:rPr>
        <w:t>（</w:t>
      </w:r>
      <w:r>
        <w:rPr>
          <w:rFonts w:hint="eastAsia" w:ascii="Times New Roman" w:hAnsi="Times New Roman" w:eastAsia="楷体_GB2312" w:cs="Times New Roman"/>
          <w:color w:val="auto"/>
          <w:sz w:val="32"/>
          <w:szCs w:val="32"/>
          <w:lang w:eastAsia="zh-CN"/>
        </w:rPr>
        <w:t>二</w:t>
      </w:r>
      <w:r>
        <w:rPr>
          <w:rFonts w:hint="default" w:ascii="Times New Roman" w:hAnsi="Times New Roman" w:eastAsia="楷体_GB2312" w:cs="Times New Roman"/>
          <w:color w:val="auto"/>
          <w:sz w:val="32"/>
          <w:szCs w:val="32"/>
        </w:rPr>
        <w:t>）受理</w:t>
      </w:r>
      <w:r>
        <w:rPr>
          <w:rFonts w:hint="default" w:ascii="Times New Roman" w:hAnsi="Times New Roman" w:eastAsia="楷体_GB2312" w:cs="Times New Roman"/>
          <w:color w:val="auto"/>
          <w:sz w:val="32"/>
        </w:rPr>
        <w:t>时间</w:t>
      </w:r>
    </w:p>
    <w:p w14:paraId="4A41D769">
      <w:pPr>
        <w:keepNext w:val="0"/>
        <w:keepLines w:val="0"/>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000000" w:themeColor="text1"/>
          <w:sz w:val="32"/>
          <w:lang w:eastAsia="zh-CN"/>
          <w14:textFill>
            <w14:solidFill>
              <w14:schemeClr w14:val="tx1"/>
            </w14:solidFill>
          </w14:textFill>
        </w:rPr>
      </w:pPr>
      <w:r>
        <w:rPr>
          <w:rFonts w:hint="default" w:ascii="Times New Roman" w:hAnsi="Times New Roman" w:eastAsia="仿宋_GB2312" w:cs="Times New Roman"/>
          <w:color w:val="000000" w:themeColor="text1"/>
          <w:sz w:val="32"/>
          <w14:textFill>
            <w14:solidFill>
              <w14:schemeClr w14:val="tx1"/>
            </w14:solidFill>
          </w14:textFill>
        </w:rPr>
        <w:t>202</w:t>
      </w:r>
      <w:r>
        <w:rPr>
          <w:rFonts w:hint="default" w:ascii="Times New Roman" w:hAnsi="Times New Roman" w:eastAsia="仿宋_GB2312" w:cs="Times New Roman"/>
          <w:color w:val="000000" w:themeColor="text1"/>
          <w:sz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14:textFill>
            <w14:solidFill>
              <w14:schemeClr w14:val="tx1"/>
            </w14:solidFill>
          </w14:textFill>
        </w:rPr>
        <w:t>年</w:t>
      </w:r>
      <w:r>
        <w:rPr>
          <w:rFonts w:hint="default" w:ascii="Times New Roman" w:hAnsi="Times New Roman" w:eastAsia="仿宋_GB2312" w:cs="Times New Roman"/>
          <w:color w:val="000000" w:themeColor="text1"/>
          <w:sz w:val="32"/>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14:textFill>
            <w14:solidFill>
              <w14:schemeClr w14:val="tx1"/>
            </w14:solidFill>
          </w14:textFill>
        </w:rPr>
        <w:t>月</w:t>
      </w:r>
      <w:r>
        <w:rPr>
          <w:rFonts w:hint="default" w:ascii="Times New Roman" w:hAnsi="Times New Roman" w:eastAsia="仿宋_GB2312" w:cs="Times New Roman"/>
          <w:color w:val="000000" w:themeColor="text1"/>
          <w:sz w:val="32"/>
          <w:lang w:val="en-US" w:eastAsia="zh-CN"/>
          <w14:textFill>
            <w14:solidFill>
              <w14:schemeClr w14:val="tx1"/>
            </w14:solidFill>
          </w14:textFill>
        </w:rPr>
        <w:t>1</w:t>
      </w:r>
      <w:r>
        <w:rPr>
          <w:rFonts w:hint="eastAsia" w:ascii="Times New Roman" w:hAnsi="Times New Roman" w:eastAsia="仿宋_GB2312" w:cs="Times New Roman"/>
          <w:color w:val="000000" w:themeColor="text1"/>
          <w:sz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14:textFill>
            <w14:solidFill>
              <w14:schemeClr w14:val="tx1"/>
            </w14:solidFill>
          </w14:textFill>
        </w:rPr>
        <w:t>日至</w:t>
      </w:r>
      <w:r>
        <w:rPr>
          <w:rFonts w:hint="default" w:ascii="Times New Roman" w:hAnsi="Times New Roman" w:eastAsia="仿宋_GB2312" w:cs="Times New Roman"/>
          <w:color w:val="000000" w:themeColor="text1"/>
          <w:sz w:val="32"/>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14:textFill>
            <w14:solidFill>
              <w14:schemeClr w14:val="tx1"/>
            </w14:solidFill>
          </w14:textFill>
        </w:rPr>
        <w:t>月</w:t>
      </w:r>
      <w:r>
        <w:rPr>
          <w:rFonts w:hint="default" w:ascii="Times New Roman" w:hAnsi="Times New Roman" w:eastAsia="仿宋_GB2312" w:cs="Times New Roman"/>
          <w:color w:val="000000" w:themeColor="text1"/>
          <w:sz w:val="32"/>
          <w:lang w:val="en-US" w:eastAsia="zh-CN"/>
          <w14:textFill>
            <w14:solidFill>
              <w14:schemeClr w14:val="tx1"/>
            </w14:solidFill>
          </w14:textFill>
        </w:rPr>
        <w:t>31</w:t>
      </w:r>
      <w:bookmarkStart w:id="0" w:name="_GoBack"/>
      <w:bookmarkEnd w:id="0"/>
      <w:r>
        <w:rPr>
          <w:rFonts w:hint="default" w:ascii="Times New Roman" w:hAnsi="Times New Roman" w:eastAsia="仿宋_GB2312" w:cs="Times New Roman"/>
          <w:color w:val="000000" w:themeColor="text1"/>
          <w:sz w:val="32"/>
          <w14:textFill>
            <w14:solidFill>
              <w14:schemeClr w14:val="tx1"/>
            </w14:solidFill>
          </w14:textFill>
        </w:rPr>
        <w:t>日</w:t>
      </w:r>
    </w:p>
    <w:p w14:paraId="6E9B954F">
      <w:pPr>
        <w:keepNext w:val="0"/>
        <w:keepLines w:val="0"/>
        <w:pageBreakBefore w:val="0"/>
        <w:kinsoku/>
        <w:wordWrap/>
        <w:overflowPunct/>
        <w:topLinePunct w:val="0"/>
        <w:bidi w:val="0"/>
        <w:spacing w:line="600" w:lineRule="exact"/>
        <w:ind w:firstLine="480" w:firstLineChars="150"/>
        <w:textAlignment w:val="auto"/>
        <w:rPr>
          <w:rFonts w:hint="default" w:ascii="Times New Roman" w:hAnsi="Times New Roman" w:eastAsia="楷体_GB2312" w:cs="Times New Roman"/>
          <w:color w:val="auto"/>
          <w:sz w:val="32"/>
        </w:rPr>
      </w:pPr>
      <w:r>
        <w:rPr>
          <w:rFonts w:hint="default" w:ascii="Times New Roman" w:hAnsi="Times New Roman" w:eastAsia="楷体_GB2312" w:cs="Times New Roman"/>
          <w:color w:val="auto"/>
          <w:sz w:val="32"/>
        </w:rPr>
        <w:t>（</w:t>
      </w:r>
      <w:r>
        <w:rPr>
          <w:rFonts w:hint="eastAsia" w:ascii="Times New Roman" w:hAnsi="Times New Roman" w:eastAsia="楷体_GB2312" w:cs="Times New Roman"/>
          <w:color w:val="auto"/>
          <w:sz w:val="32"/>
          <w:lang w:eastAsia="zh-CN"/>
        </w:rPr>
        <w:t>三</w:t>
      </w:r>
      <w:r>
        <w:rPr>
          <w:rFonts w:hint="default" w:ascii="Times New Roman" w:hAnsi="Times New Roman" w:eastAsia="楷体_GB2312" w:cs="Times New Roman"/>
          <w:color w:val="auto"/>
          <w:sz w:val="32"/>
        </w:rPr>
        <w:t>）受理单位</w:t>
      </w:r>
    </w:p>
    <w:p w14:paraId="76B464DD">
      <w:pPr>
        <w:keepNext w:val="0"/>
        <w:keepLines w:val="0"/>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镇街（园区）所属的单位或个人将申报材料提交给所在镇街（园区）宣传</w:t>
      </w:r>
      <w:r>
        <w:rPr>
          <w:rFonts w:hint="default" w:ascii="Times New Roman" w:hAnsi="Times New Roman" w:eastAsia="仿宋_GB2312" w:cs="Times New Roman"/>
          <w:color w:val="auto"/>
          <w:sz w:val="32"/>
          <w:szCs w:val="32"/>
          <w:lang w:eastAsia="zh-CN"/>
        </w:rPr>
        <w:t>文化</w:t>
      </w:r>
      <w:r>
        <w:rPr>
          <w:rFonts w:hint="default" w:ascii="Times New Roman" w:hAnsi="Times New Roman" w:eastAsia="仿宋_GB2312" w:cs="Times New Roman"/>
          <w:color w:val="auto"/>
          <w:sz w:val="32"/>
          <w:szCs w:val="32"/>
        </w:rPr>
        <w:t>部门进行审核，市直单位或个人将申报材料提交给所在市直部门</w:t>
      </w:r>
      <w:r>
        <w:rPr>
          <w:rFonts w:hint="default" w:ascii="Times New Roman" w:hAnsi="Times New Roman" w:eastAsia="仿宋_GB2312" w:cs="Times New Roman"/>
          <w:color w:val="auto"/>
          <w:sz w:val="32"/>
          <w:szCs w:val="32"/>
          <w:lang w:eastAsia="zh-CN"/>
        </w:rPr>
        <w:t>（市级业务主管部门）</w:t>
      </w:r>
      <w:r>
        <w:rPr>
          <w:rFonts w:hint="default" w:ascii="Times New Roman" w:hAnsi="Times New Roman" w:eastAsia="仿宋_GB2312" w:cs="Times New Roman"/>
          <w:color w:val="auto"/>
          <w:sz w:val="32"/>
          <w:szCs w:val="32"/>
        </w:rPr>
        <w:t>进行审核（如市直属学校报市教育局），市内各高校将申报材料提交给高校科研部门进行审核，市社科联</w:t>
      </w:r>
      <w:r>
        <w:rPr>
          <w:rFonts w:hint="default" w:ascii="Times New Roman" w:hAnsi="Times New Roman" w:eastAsia="仿宋_GB2312" w:cs="Times New Roman"/>
          <w:color w:val="auto"/>
          <w:sz w:val="32"/>
          <w:szCs w:val="32"/>
          <w:lang w:eastAsia="zh-CN"/>
        </w:rPr>
        <w:t>主管社科社会组织</w:t>
      </w:r>
      <w:r>
        <w:rPr>
          <w:rFonts w:hint="default" w:ascii="Times New Roman" w:hAnsi="Times New Roman" w:eastAsia="仿宋_GB2312" w:cs="Times New Roman"/>
          <w:color w:val="auto"/>
          <w:sz w:val="32"/>
          <w:szCs w:val="32"/>
        </w:rPr>
        <w:t>（含个人）直接提交给市社科联审核。</w:t>
      </w:r>
    </w:p>
    <w:p w14:paraId="20982468">
      <w:pPr>
        <w:pStyle w:val="12"/>
        <w:keepNext w:val="0"/>
        <w:keepLines w:val="0"/>
        <w:pageBreakBefore w:val="0"/>
        <w:kinsoku/>
        <w:wordWrap/>
        <w:overflowPunct/>
        <w:topLinePunct w:val="0"/>
        <w:bidi w:val="0"/>
        <w:spacing w:line="600" w:lineRule="exact"/>
        <w:ind w:firstLine="419" w:firstLineChars="131"/>
        <w:textAlignment w:val="auto"/>
        <w:rPr>
          <w:rFonts w:hint="default" w:ascii="Times New Roman" w:hAnsi="Times New Roman" w:eastAsia="楷体_GB2312" w:cs="Times New Roman"/>
          <w:color w:val="auto"/>
        </w:rPr>
      </w:pPr>
      <w:r>
        <w:rPr>
          <w:rFonts w:hint="default" w:ascii="Times New Roman" w:hAnsi="Times New Roman" w:eastAsia="楷体_GB2312" w:cs="Times New Roman"/>
          <w:color w:val="auto"/>
        </w:rPr>
        <w:t>（</w:t>
      </w:r>
      <w:r>
        <w:rPr>
          <w:rFonts w:hint="eastAsia" w:eastAsia="楷体_GB2312" w:cs="Times New Roman"/>
          <w:color w:val="auto"/>
          <w:lang w:eastAsia="zh-CN"/>
        </w:rPr>
        <w:t>四</w:t>
      </w:r>
      <w:r>
        <w:rPr>
          <w:rFonts w:hint="default" w:ascii="Times New Roman" w:hAnsi="Times New Roman" w:eastAsia="楷体_GB2312" w:cs="Times New Roman"/>
          <w:color w:val="auto"/>
        </w:rPr>
        <w:t>）审核要点</w:t>
      </w:r>
    </w:p>
    <w:p w14:paraId="07462E9E">
      <w:pPr>
        <w:keepNext w:val="0"/>
        <w:keepLines w:val="0"/>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1.对成果</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意识形态</w:t>
      </w:r>
      <w:r>
        <w:rPr>
          <w:rFonts w:hint="default" w:ascii="Times New Roman" w:hAnsi="Times New Roman" w:eastAsia="仿宋_GB2312" w:cs="Times New Roman"/>
          <w:color w:val="auto"/>
          <w:sz w:val="32"/>
          <w:szCs w:val="32"/>
          <w:lang w:eastAsia="zh-CN"/>
        </w:rPr>
        <w:t>情况</w:t>
      </w:r>
      <w:r>
        <w:rPr>
          <w:rFonts w:hint="default" w:ascii="Times New Roman" w:hAnsi="Times New Roman" w:eastAsia="仿宋_GB2312" w:cs="Times New Roman"/>
          <w:color w:val="auto"/>
          <w:sz w:val="32"/>
          <w:szCs w:val="32"/>
        </w:rPr>
        <w:t>严格把关</w:t>
      </w:r>
      <w:r>
        <w:rPr>
          <w:rFonts w:hint="default" w:ascii="Times New Roman" w:hAnsi="Times New Roman" w:eastAsia="仿宋_GB2312" w:cs="Times New Roman"/>
          <w:color w:val="auto"/>
          <w:sz w:val="32"/>
          <w:szCs w:val="32"/>
          <w:lang w:eastAsia="zh-CN"/>
        </w:rPr>
        <w:t>；</w:t>
      </w:r>
    </w:p>
    <w:p w14:paraId="14BD7EF0">
      <w:pPr>
        <w:keepNext w:val="0"/>
        <w:keepLines w:val="0"/>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户籍证明、</w:t>
      </w:r>
      <w:r>
        <w:rPr>
          <w:rFonts w:hint="default" w:ascii="Times New Roman" w:hAnsi="Times New Roman" w:eastAsia="仿宋_GB2312" w:cs="Times New Roman"/>
          <w:color w:val="auto"/>
          <w:sz w:val="32"/>
          <w:szCs w:val="32"/>
        </w:rPr>
        <w:t>社保清单</w:t>
      </w:r>
      <w:r>
        <w:rPr>
          <w:rFonts w:hint="default" w:ascii="Times New Roman" w:hAnsi="Times New Roman" w:eastAsia="仿宋_GB2312" w:cs="Times New Roman"/>
          <w:color w:val="auto"/>
          <w:sz w:val="32"/>
          <w:szCs w:val="32"/>
          <w:lang w:eastAsia="zh-CN"/>
        </w:rPr>
        <w:t>、企业</w:t>
      </w:r>
      <w:r>
        <w:rPr>
          <w:rFonts w:hint="default" w:ascii="Times New Roman" w:hAnsi="Times New Roman" w:eastAsia="仿宋_GB2312" w:cs="Times New Roman"/>
          <w:color w:val="auto"/>
          <w:sz w:val="32"/>
          <w:szCs w:val="32"/>
        </w:rPr>
        <w:t>法人证书、经营许可证等</w:t>
      </w:r>
      <w:r>
        <w:rPr>
          <w:rFonts w:hint="default" w:ascii="Times New Roman" w:hAnsi="Times New Roman" w:eastAsia="仿宋_GB2312" w:cs="Times New Roman"/>
          <w:color w:val="auto"/>
          <w:sz w:val="32"/>
          <w:szCs w:val="32"/>
          <w:lang w:eastAsia="zh-CN"/>
        </w:rPr>
        <w:t>资料的原件与复印件是否相符；</w:t>
      </w:r>
    </w:p>
    <w:p w14:paraId="6B1A7304">
      <w:pPr>
        <w:keepNext w:val="0"/>
        <w:keepLines w:val="0"/>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eastAsia="zh-CN"/>
        </w:rPr>
        <w:t>其他</w:t>
      </w:r>
      <w:r>
        <w:rPr>
          <w:rFonts w:hint="default" w:ascii="Times New Roman" w:hAnsi="Times New Roman" w:eastAsia="仿宋_GB2312" w:cs="Times New Roman"/>
          <w:color w:val="auto"/>
          <w:sz w:val="32"/>
          <w:szCs w:val="32"/>
        </w:rPr>
        <w:t>佐证材料的复印件与原件是否相符。</w:t>
      </w:r>
    </w:p>
    <w:p w14:paraId="5362A84C">
      <w:pPr>
        <w:pStyle w:val="12"/>
        <w:keepNext w:val="0"/>
        <w:keepLines w:val="0"/>
        <w:pageBreakBefore w:val="0"/>
        <w:kinsoku/>
        <w:wordWrap/>
        <w:overflowPunct/>
        <w:topLinePunct w:val="0"/>
        <w:bidi w:val="0"/>
        <w:spacing w:line="600" w:lineRule="exact"/>
        <w:ind w:firstLine="419" w:firstLineChars="131"/>
        <w:textAlignment w:val="auto"/>
        <w:rPr>
          <w:rFonts w:hint="default" w:ascii="Times New Roman" w:hAnsi="Times New Roman" w:eastAsia="楷体_GB2312" w:cs="Times New Roman"/>
          <w:color w:val="auto"/>
        </w:rPr>
      </w:pPr>
      <w:r>
        <w:rPr>
          <w:rFonts w:hint="default" w:ascii="Times New Roman" w:hAnsi="Times New Roman" w:eastAsia="楷体_GB2312" w:cs="Times New Roman"/>
          <w:color w:val="auto"/>
        </w:rPr>
        <w:t>（</w:t>
      </w:r>
      <w:r>
        <w:rPr>
          <w:rFonts w:hint="eastAsia" w:eastAsia="楷体_GB2312" w:cs="Times New Roman"/>
          <w:color w:val="auto"/>
          <w:lang w:eastAsia="zh-CN"/>
        </w:rPr>
        <w:t>五</w:t>
      </w:r>
      <w:r>
        <w:rPr>
          <w:rFonts w:hint="default" w:ascii="Times New Roman" w:hAnsi="Times New Roman" w:eastAsia="楷体_GB2312" w:cs="Times New Roman"/>
          <w:color w:val="auto"/>
        </w:rPr>
        <w:t>）受理要求</w:t>
      </w:r>
    </w:p>
    <w:p w14:paraId="1A4524C0">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各受理单位负责按照前述审核要点要求，逐一对照审核，对不符合申报要求的当场退回，符合要求的加盖公章后于</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2025年10月31日</w:t>
      </w:r>
      <w:r>
        <w:rPr>
          <w:rFonts w:hint="default" w:ascii="Times New Roman" w:hAnsi="Times New Roman" w:eastAsia="仿宋_GB2312" w:cs="Times New Roman"/>
          <w:color w:val="auto"/>
          <w:kern w:val="0"/>
          <w:sz w:val="32"/>
          <w:szCs w:val="32"/>
          <w:lang w:val="en-US" w:eastAsia="zh-CN" w:bidi="ar-SA"/>
        </w:rPr>
        <w:t>前将申报成果的纸质材料及相应的电子文档材料（须与纸质申报材料一致，</w:t>
      </w:r>
      <w:r>
        <w:rPr>
          <w:rFonts w:hint="default" w:ascii="Times New Roman" w:hAnsi="Times New Roman" w:eastAsia="仿宋_GB2312" w:cs="Times New Roman"/>
          <w:color w:val="auto"/>
          <w:kern w:val="0"/>
          <w:sz w:val="32"/>
          <w:szCs w:val="32"/>
          <w:lang w:val="en-US" w:eastAsia="zh" w:bidi="ar-SA"/>
        </w:rPr>
        <w:t>word/wps/excel</w:t>
      </w:r>
      <w:r>
        <w:rPr>
          <w:rFonts w:hint="default" w:ascii="Times New Roman" w:hAnsi="Times New Roman" w:eastAsia="仿宋_GB2312" w:cs="Times New Roman"/>
          <w:color w:val="auto"/>
          <w:kern w:val="0"/>
          <w:sz w:val="32"/>
          <w:szCs w:val="32"/>
          <w:lang w:val="en-US" w:eastAsia="zh-CN" w:bidi="ar-SA"/>
        </w:rPr>
        <w:t>可编辑文档格式），统一报送市社科联学术研究部。</w:t>
      </w:r>
    </w:p>
    <w:p w14:paraId="70C9C562">
      <w:pPr>
        <w:keepNext w:val="0"/>
        <w:keepLines w:val="0"/>
        <w:pageBreakBefore w:val="0"/>
        <w:widowControl/>
        <w:kinsoku/>
        <w:wordWrap/>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六</w:t>
      </w:r>
      <w:r>
        <w:rPr>
          <w:rFonts w:hint="default" w:ascii="Times New Roman" w:hAnsi="Times New Roman" w:eastAsia="黑体" w:cs="Times New Roman"/>
          <w:color w:val="auto"/>
          <w:sz w:val="32"/>
          <w:szCs w:val="32"/>
        </w:rPr>
        <w:t>、其他事项</w:t>
      </w:r>
    </w:p>
    <w:p w14:paraId="1EC990E5">
      <w:pPr>
        <w:pStyle w:val="16"/>
        <w:keepNext w:val="0"/>
        <w:keepLines w:val="0"/>
        <w:pageBreakBefore w:val="0"/>
        <w:kinsoku/>
        <w:wordWrap/>
        <w:overflowPunct/>
        <w:topLinePunct w:val="0"/>
        <w:bidi w:val="0"/>
        <w:spacing w:line="600" w:lineRule="exact"/>
        <w:ind w:firstLine="480" w:firstLineChars="15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（一）所有奖励必须由获奖单位或个人（以获奖证书为准）提出申报，申报主体和获奖主体名称不一致的，要提供相关证明材料并得到获奖主体的授权（</w:t>
      </w:r>
      <w:r>
        <w:rPr>
          <w:rFonts w:hint="default" w:ascii="Times New Roman" w:hAnsi="Times New Roman" w:eastAsia="仿宋_GB2312" w:cs="Times New Roman"/>
          <w:color w:val="auto"/>
          <w:sz w:val="32"/>
          <w:szCs w:val="32"/>
          <w:lang w:eastAsia="zh-CN"/>
        </w:rPr>
        <w:t>主体为单位的，</w:t>
      </w:r>
      <w:r>
        <w:rPr>
          <w:rFonts w:hint="default" w:ascii="Times New Roman" w:hAnsi="Times New Roman" w:eastAsia="仿宋_GB2312" w:cs="Times New Roman"/>
          <w:color w:val="auto"/>
          <w:sz w:val="32"/>
          <w:szCs w:val="32"/>
        </w:rPr>
        <w:t>加盖单位公章</w:t>
      </w:r>
      <w:r>
        <w:rPr>
          <w:rFonts w:hint="default" w:ascii="Times New Roman" w:hAnsi="Times New Roman" w:eastAsia="仿宋_GB2312" w:cs="Times New Roman"/>
          <w:color w:val="auto"/>
          <w:sz w:val="32"/>
          <w:szCs w:val="32"/>
          <w:lang w:eastAsia="zh-CN"/>
        </w:rPr>
        <w:t>；主体为个人的，按手指模</w:t>
      </w:r>
      <w:r>
        <w:rPr>
          <w:rFonts w:hint="default" w:ascii="Times New Roman" w:hAnsi="Times New Roman" w:eastAsia="仿宋_GB2312" w:cs="Times New Roman"/>
          <w:color w:val="auto"/>
          <w:sz w:val="32"/>
          <w:szCs w:val="32"/>
        </w:rPr>
        <w:t>）。合作成果必须以第一作者（第一主编）名义进行申报。</w:t>
      </w:r>
    </w:p>
    <w:p w14:paraId="592581BC">
      <w:pPr>
        <w:keepNext w:val="0"/>
        <w:keepLines w:val="0"/>
        <w:pageBreakBefore w:val="0"/>
        <w:kinsoku/>
        <w:wordWrap/>
        <w:overflowPunct/>
        <w:topLinePunct w:val="0"/>
        <w:bidi w:val="0"/>
        <w:spacing w:line="600" w:lineRule="exact"/>
        <w:ind w:firstLine="480" w:firstLineChars="15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（二）申报单位或个人必须确保申报材料的真实、准确和完整，实事求是，不得虚假申报。一旦发现有弄虚作假行为，立即取消申报资格。</w:t>
      </w:r>
    </w:p>
    <w:p w14:paraId="34B46262">
      <w:pPr>
        <w:keepNext w:val="0"/>
        <w:keepLines w:val="0"/>
        <w:pageBreakBefore w:val="0"/>
        <w:widowControl/>
        <w:kinsoku/>
        <w:wordWrap/>
        <w:overflowPunct/>
        <w:topLinePunct w:val="0"/>
        <w:bidi w:val="0"/>
        <w:spacing w:line="600" w:lineRule="exact"/>
        <w:ind w:firstLine="480" w:firstLineChars="15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（三）材料审核单位要切实负责，对申报材料严格审查，把好关口。一旦发现有失职渎职行为，将严厉追究相关责任人责任。</w:t>
      </w:r>
    </w:p>
    <w:sectPr>
      <w:footerReference r:id="rId3" w:type="default"/>
      <w:footerReference r:id="rId4"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F241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2B36D">
                          <w:pPr>
                            <w:pStyle w:val="5"/>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- 1 -</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02B36D">
                    <w:pPr>
                      <w:pStyle w:val="5"/>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- 1 -</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94228">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197816">
                          <w:pPr>
                            <w:pStyle w:val="5"/>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8197816">
                    <w:pPr>
                      <w:pStyle w:val="5"/>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E9EFBF"/>
    <w:rsid w:val="000314B7"/>
    <w:rsid w:val="000361D7"/>
    <w:rsid w:val="00040BCB"/>
    <w:rsid w:val="00042C15"/>
    <w:rsid w:val="00050332"/>
    <w:rsid w:val="00051BC3"/>
    <w:rsid w:val="00052884"/>
    <w:rsid w:val="00054772"/>
    <w:rsid w:val="0005533F"/>
    <w:rsid w:val="00056854"/>
    <w:rsid w:val="0006693E"/>
    <w:rsid w:val="00074ACC"/>
    <w:rsid w:val="000828EC"/>
    <w:rsid w:val="00097D34"/>
    <w:rsid w:val="000B0E8F"/>
    <w:rsid w:val="000B26FA"/>
    <w:rsid w:val="000C0CD1"/>
    <w:rsid w:val="000C50DC"/>
    <w:rsid w:val="000D2612"/>
    <w:rsid w:val="000D775F"/>
    <w:rsid w:val="000E6C2E"/>
    <w:rsid w:val="000F3C92"/>
    <w:rsid w:val="000F7A0A"/>
    <w:rsid w:val="00107381"/>
    <w:rsid w:val="00121551"/>
    <w:rsid w:val="001326EE"/>
    <w:rsid w:val="00136BE8"/>
    <w:rsid w:val="00140AAE"/>
    <w:rsid w:val="00170D00"/>
    <w:rsid w:val="00185A8D"/>
    <w:rsid w:val="00191E80"/>
    <w:rsid w:val="00197409"/>
    <w:rsid w:val="001A2E62"/>
    <w:rsid w:val="001B1CE3"/>
    <w:rsid w:val="001D5B12"/>
    <w:rsid w:val="001D70CB"/>
    <w:rsid w:val="001E0478"/>
    <w:rsid w:val="001E77A3"/>
    <w:rsid w:val="001F6964"/>
    <w:rsid w:val="001F7ACD"/>
    <w:rsid w:val="00220B91"/>
    <w:rsid w:val="00231540"/>
    <w:rsid w:val="00261912"/>
    <w:rsid w:val="0026656A"/>
    <w:rsid w:val="00274C2A"/>
    <w:rsid w:val="0028669E"/>
    <w:rsid w:val="00286C6B"/>
    <w:rsid w:val="00287E39"/>
    <w:rsid w:val="002A1A04"/>
    <w:rsid w:val="002B1CED"/>
    <w:rsid w:val="002C3F44"/>
    <w:rsid w:val="002C45C2"/>
    <w:rsid w:val="002C47AB"/>
    <w:rsid w:val="002C5559"/>
    <w:rsid w:val="002D0A23"/>
    <w:rsid w:val="002D3964"/>
    <w:rsid w:val="002D7842"/>
    <w:rsid w:val="002E1A5B"/>
    <w:rsid w:val="00301654"/>
    <w:rsid w:val="0030377B"/>
    <w:rsid w:val="003042E2"/>
    <w:rsid w:val="00304CFA"/>
    <w:rsid w:val="0032437E"/>
    <w:rsid w:val="00334A90"/>
    <w:rsid w:val="00336419"/>
    <w:rsid w:val="00340DA2"/>
    <w:rsid w:val="00343CF8"/>
    <w:rsid w:val="003440CD"/>
    <w:rsid w:val="00347F60"/>
    <w:rsid w:val="003743A2"/>
    <w:rsid w:val="00384DE6"/>
    <w:rsid w:val="0039124E"/>
    <w:rsid w:val="003A7477"/>
    <w:rsid w:val="003B6635"/>
    <w:rsid w:val="003B7491"/>
    <w:rsid w:val="003C0B87"/>
    <w:rsid w:val="003C0D3C"/>
    <w:rsid w:val="003C303B"/>
    <w:rsid w:val="003C5613"/>
    <w:rsid w:val="003D7E5C"/>
    <w:rsid w:val="003E64CC"/>
    <w:rsid w:val="00430F41"/>
    <w:rsid w:val="00435B7A"/>
    <w:rsid w:val="00473AA5"/>
    <w:rsid w:val="00487109"/>
    <w:rsid w:val="00493C8E"/>
    <w:rsid w:val="00493D84"/>
    <w:rsid w:val="0049750F"/>
    <w:rsid w:val="004A0ABD"/>
    <w:rsid w:val="004A18E6"/>
    <w:rsid w:val="004A6912"/>
    <w:rsid w:val="004B6745"/>
    <w:rsid w:val="004C257A"/>
    <w:rsid w:val="004C4DB5"/>
    <w:rsid w:val="004D3FE6"/>
    <w:rsid w:val="004F1DDE"/>
    <w:rsid w:val="005068DB"/>
    <w:rsid w:val="00507E66"/>
    <w:rsid w:val="005106BE"/>
    <w:rsid w:val="00512428"/>
    <w:rsid w:val="005149F9"/>
    <w:rsid w:val="00520448"/>
    <w:rsid w:val="005238BD"/>
    <w:rsid w:val="00530AB2"/>
    <w:rsid w:val="00532940"/>
    <w:rsid w:val="00570663"/>
    <w:rsid w:val="005753AF"/>
    <w:rsid w:val="005922D8"/>
    <w:rsid w:val="00594531"/>
    <w:rsid w:val="00595C62"/>
    <w:rsid w:val="005B27F1"/>
    <w:rsid w:val="005B6104"/>
    <w:rsid w:val="005C53DA"/>
    <w:rsid w:val="005D076B"/>
    <w:rsid w:val="005D791A"/>
    <w:rsid w:val="005E34CC"/>
    <w:rsid w:val="005E5000"/>
    <w:rsid w:val="006022EF"/>
    <w:rsid w:val="00614A36"/>
    <w:rsid w:val="00626AFF"/>
    <w:rsid w:val="00630611"/>
    <w:rsid w:val="0063216D"/>
    <w:rsid w:val="00637162"/>
    <w:rsid w:val="0064729E"/>
    <w:rsid w:val="006575CE"/>
    <w:rsid w:val="00657B27"/>
    <w:rsid w:val="00665DEC"/>
    <w:rsid w:val="006848D7"/>
    <w:rsid w:val="00684FBB"/>
    <w:rsid w:val="006943BB"/>
    <w:rsid w:val="006C2448"/>
    <w:rsid w:val="006D491D"/>
    <w:rsid w:val="006D4C95"/>
    <w:rsid w:val="006E1021"/>
    <w:rsid w:val="006E18EF"/>
    <w:rsid w:val="006E2DDA"/>
    <w:rsid w:val="00711A62"/>
    <w:rsid w:val="00712A23"/>
    <w:rsid w:val="00712E86"/>
    <w:rsid w:val="00723262"/>
    <w:rsid w:val="00741EE7"/>
    <w:rsid w:val="0074537C"/>
    <w:rsid w:val="00755E70"/>
    <w:rsid w:val="00762165"/>
    <w:rsid w:val="007652C7"/>
    <w:rsid w:val="00766D9E"/>
    <w:rsid w:val="0077180A"/>
    <w:rsid w:val="00780EE7"/>
    <w:rsid w:val="007811F6"/>
    <w:rsid w:val="00785527"/>
    <w:rsid w:val="007858EF"/>
    <w:rsid w:val="00786943"/>
    <w:rsid w:val="00796D82"/>
    <w:rsid w:val="007A2D0C"/>
    <w:rsid w:val="007A71FA"/>
    <w:rsid w:val="007B1F93"/>
    <w:rsid w:val="007B4354"/>
    <w:rsid w:val="007B7DB8"/>
    <w:rsid w:val="007C71CD"/>
    <w:rsid w:val="007D1AAB"/>
    <w:rsid w:val="007E664B"/>
    <w:rsid w:val="00800D84"/>
    <w:rsid w:val="00811069"/>
    <w:rsid w:val="00817CB0"/>
    <w:rsid w:val="008247CE"/>
    <w:rsid w:val="00830849"/>
    <w:rsid w:val="008315B0"/>
    <w:rsid w:val="00833DF5"/>
    <w:rsid w:val="00857810"/>
    <w:rsid w:val="00862384"/>
    <w:rsid w:val="00870F2E"/>
    <w:rsid w:val="00875F69"/>
    <w:rsid w:val="0088394A"/>
    <w:rsid w:val="008C0EA0"/>
    <w:rsid w:val="008D322A"/>
    <w:rsid w:val="00906316"/>
    <w:rsid w:val="0094396B"/>
    <w:rsid w:val="00950E63"/>
    <w:rsid w:val="00952796"/>
    <w:rsid w:val="00954592"/>
    <w:rsid w:val="00957973"/>
    <w:rsid w:val="009716AE"/>
    <w:rsid w:val="009722FB"/>
    <w:rsid w:val="00976675"/>
    <w:rsid w:val="00982B8E"/>
    <w:rsid w:val="009B6F62"/>
    <w:rsid w:val="009C0285"/>
    <w:rsid w:val="009C3F1E"/>
    <w:rsid w:val="009C6652"/>
    <w:rsid w:val="009C7B5D"/>
    <w:rsid w:val="009D342D"/>
    <w:rsid w:val="009D491F"/>
    <w:rsid w:val="009D6A62"/>
    <w:rsid w:val="009E2D4D"/>
    <w:rsid w:val="009E41F8"/>
    <w:rsid w:val="009E6DA3"/>
    <w:rsid w:val="00A016B1"/>
    <w:rsid w:val="00A0195D"/>
    <w:rsid w:val="00A325D9"/>
    <w:rsid w:val="00A43F27"/>
    <w:rsid w:val="00A773B1"/>
    <w:rsid w:val="00A81EEC"/>
    <w:rsid w:val="00A86F20"/>
    <w:rsid w:val="00A94141"/>
    <w:rsid w:val="00AA5357"/>
    <w:rsid w:val="00AA75DE"/>
    <w:rsid w:val="00AC263E"/>
    <w:rsid w:val="00AC4530"/>
    <w:rsid w:val="00AD3834"/>
    <w:rsid w:val="00AD3E96"/>
    <w:rsid w:val="00AD41E3"/>
    <w:rsid w:val="00AD4940"/>
    <w:rsid w:val="00AF12A3"/>
    <w:rsid w:val="00AF3A13"/>
    <w:rsid w:val="00AF5702"/>
    <w:rsid w:val="00B12231"/>
    <w:rsid w:val="00B14483"/>
    <w:rsid w:val="00B4413E"/>
    <w:rsid w:val="00B52BEE"/>
    <w:rsid w:val="00B611CF"/>
    <w:rsid w:val="00B61555"/>
    <w:rsid w:val="00BB3794"/>
    <w:rsid w:val="00BC3EB2"/>
    <w:rsid w:val="00BD6F24"/>
    <w:rsid w:val="00BE24D5"/>
    <w:rsid w:val="00BE760A"/>
    <w:rsid w:val="00BF36EF"/>
    <w:rsid w:val="00BF4B34"/>
    <w:rsid w:val="00BF52B0"/>
    <w:rsid w:val="00C3242B"/>
    <w:rsid w:val="00C33C72"/>
    <w:rsid w:val="00C374B3"/>
    <w:rsid w:val="00C475BF"/>
    <w:rsid w:val="00C546D4"/>
    <w:rsid w:val="00C76B06"/>
    <w:rsid w:val="00CB2B5F"/>
    <w:rsid w:val="00CB41FE"/>
    <w:rsid w:val="00CB6601"/>
    <w:rsid w:val="00CD1DFD"/>
    <w:rsid w:val="00CD36CC"/>
    <w:rsid w:val="00CD53B9"/>
    <w:rsid w:val="00CD585A"/>
    <w:rsid w:val="00CD6074"/>
    <w:rsid w:val="00CE7C40"/>
    <w:rsid w:val="00CF3FC9"/>
    <w:rsid w:val="00D12577"/>
    <w:rsid w:val="00D218CD"/>
    <w:rsid w:val="00D2742B"/>
    <w:rsid w:val="00D311A4"/>
    <w:rsid w:val="00D32199"/>
    <w:rsid w:val="00D33BF5"/>
    <w:rsid w:val="00D4469B"/>
    <w:rsid w:val="00D47C20"/>
    <w:rsid w:val="00D519E5"/>
    <w:rsid w:val="00D532EA"/>
    <w:rsid w:val="00D54E17"/>
    <w:rsid w:val="00D6235F"/>
    <w:rsid w:val="00D70512"/>
    <w:rsid w:val="00D8339D"/>
    <w:rsid w:val="00D84C1A"/>
    <w:rsid w:val="00DA171B"/>
    <w:rsid w:val="00DA1FA6"/>
    <w:rsid w:val="00DA56B3"/>
    <w:rsid w:val="00DB11B4"/>
    <w:rsid w:val="00DC2A16"/>
    <w:rsid w:val="00DD3909"/>
    <w:rsid w:val="00DE20DE"/>
    <w:rsid w:val="00DE3D7A"/>
    <w:rsid w:val="00DF1F1A"/>
    <w:rsid w:val="00DF2FA3"/>
    <w:rsid w:val="00DF471B"/>
    <w:rsid w:val="00E04A43"/>
    <w:rsid w:val="00E14169"/>
    <w:rsid w:val="00E274E1"/>
    <w:rsid w:val="00E32CD3"/>
    <w:rsid w:val="00E41A7F"/>
    <w:rsid w:val="00E44D32"/>
    <w:rsid w:val="00E71FD0"/>
    <w:rsid w:val="00E746FC"/>
    <w:rsid w:val="00E91282"/>
    <w:rsid w:val="00EB12F9"/>
    <w:rsid w:val="00EB50B3"/>
    <w:rsid w:val="00EE3C99"/>
    <w:rsid w:val="00EE6805"/>
    <w:rsid w:val="00F117F3"/>
    <w:rsid w:val="00F11E8D"/>
    <w:rsid w:val="00F16F4C"/>
    <w:rsid w:val="00F2282C"/>
    <w:rsid w:val="00F3322D"/>
    <w:rsid w:val="00F344E0"/>
    <w:rsid w:val="00F36A33"/>
    <w:rsid w:val="00F455D5"/>
    <w:rsid w:val="00F570AB"/>
    <w:rsid w:val="00F61CB2"/>
    <w:rsid w:val="00F62D43"/>
    <w:rsid w:val="00F62E9F"/>
    <w:rsid w:val="00F6386E"/>
    <w:rsid w:val="00F74E33"/>
    <w:rsid w:val="00F94797"/>
    <w:rsid w:val="00FA08EC"/>
    <w:rsid w:val="00FA1D34"/>
    <w:rsid w:val="00FA570B"/>
    <w:rsid w:val="00FA73C1"/>
    <w:rsid w:val="00FB5293"/>
    <w:rsid w:val="00FC321F"/>
    <w:rsid w:val="00FC432C"/>
    <w:rsid w:val="00FE59FF"/>
    <w:rsid w:val="00FF0349"/>
    <w:rsid w:val="00FF05DB"/>
    <w:rsid w:val="00FF6E22"/>
    <w:rsid w:val="0220066F"/>
    <w:rsid w:val="06B1062B"/>
    <w:rsid w:val="07BF0D67"/>
    <w:rsid w:val="1F6EDD9F"/>
    <w:rsid w:val="1FFEF117"/>
    <w:rsid w:val="3AFF00AF"/>
    <w:rsid w:val="3DFEC409"/>
    <w:rsid w:val="3EF361B2"/>
    <w:rsid w:val="3F2EA07F"/>
    <w:rsid w:val="40330F68"/>
    <w:rsid w:val="419C6FB7"/>
    <w:rsid w:val="47837E46"/>
    <w:rsid w:val="49FB4FBA"/>
    <w:rsid w:val="4BEF6EEC"/>
    <w:rsid w:val="4E8FAB3D"/>
    <w:rsid w:val="4F3552A9"/>
    <w:rsid w:val="527B1142"/>
    <w:rsid w:val="55BF171D"/>
    <w:rsid w:val="62D722A9"/>
    <w:rsid w:val="64A26C65"/>
    <w:rsid w:val="679A865B"/>
    <w:rsid w:val="6B9FFC6C"/>
    <w:rsid w:val="6EEFECC0"/>
    <w:rsid w:val="719C09E9"/>
    <w:rsid w:val="75F75E9B"/>
    <w:rsid w:val="76E9EFBF"/>
    <w:rsid w:val="772D1388"/>
    <w:rsid w:val="77EA9BC1"/>
    <w:rsid w:val="77FB0607"/>
    <w:rsid w:val="79A5742E"/>
    <w:rsid w:val="79FB3AF0"/>
    <w:rsid w:val="7B6B182C"/>
    <w:rsid w:val="7BC41249"/>
    <w:rsid w:val="7BFF66C7"/>
    <w:rsid w:val="7EB5717E"/>
    <w:rsid w:val="7EFE5C54"/>
    <w:rsid w:val="7F57FB05"/>
    <w:rsid w:val="7F6D4B91"/>
    <w:rsid w:val="7FEB7177"/>
    <w:rsid w:val="7FFFBFF7"/>
    <w:rsid w:val="99FFF1D5"/>
    <w:rsid w:val="ABFFEF9E"/>
    <w:rsid w:val="AEEFB68C"/>
    <w:rsid w:val="AFAD3A32"/>
    <w:rsid w:val="B7BF43C4"/>
    <w:rsid w:val="B7D2F268"/>
    <w:rsid w:val="BABAB2C3"/>
    <w:rsid w:val="BB174A59"/>
    <w:rsid w:val="BDEE6DDF"/>
    <w:rsid w:val="BEFB56EE"/>
    <w:rsid w:val="BEFDA957"/>
    <w:rsid w:val="BF96AE83"/>
    <w:rsid w:val="BFBFDF22"/>
    <w:rsid w:val="D77FE31B"/>
    <w:rsid w:val="DBF6122D"/>
    <w:rsid w:val="DF67E2F7"/>
    <w:rsid w:val="DFE9B748"/>
    <w:rsid w:val="E37F9C43"/>
    <w:rsid w:val="EEDCB4EF"/>
    <w:rsid w:val="EFBEECEB"/>
    <w:rsid w:val="EFFD5492"/>
    <w:rsid w:val="EFFF1B00"/>
    <w:rsid w:val="F1B54BC1"/>
    <w:rsid w:val="F89F2DB8"/>
    <w:rsid w:val="F9EFF41C"/>
    <w:rsid w:val="FB7F3114"/>
    <w:rsid w:val="FBE7F3B9"/>
    <w:rsid w:val="FBEBD668"/>
    <w:rsid w:val="FBFD0BA4"/>
    <w:rsid w:val="FDBF7027"/>
    <w:rsid w:val="FDFDE795"/>
    <w:rsid w:val="FDFF0642"/>
    <w:rsid w:val="FF0F4FF2"/>
    <w:rsid w:val="FF9F7572"/>
    <w:rsid w:val="FFD7C223"/>
    <w:rsid w:val="FFE55C5D"/>
    <w:rsid w:val="FFFF4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9"/>
    <w:pPr>
      <w:keepNext/>
      <w:keepLines/>
      <w:spacing w:before="260" w:after="260" w:line="415" w:lineRule="auto"/>
      <w:outlineLvl w:val="2"/>
    </w:pPr>
    <w:rPr>
      <w:b/>
      <w:bCs/>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ascii="Calibri" w:hAnsi="Calibri" w:eastAsia="宋体" w:cs="Times New Roman"/>
    </w:rPr>
  </w:style>
  <w:style w:type="paragraph" w:styleId="4">
    <w:name w:val="Balloon Text"/>
    <w:basedOn w:val="1"/>
    <w:link w:val="14"/>
    <w:semiHidden/>
    <w:unhideWhenUsed/>
    <w:qFormat/>
    <w:uiPriority w:val="0"/>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page number"/>
    <w:basedOn w:val="9"/>
    <w:qFormat/>
    <w:uiPriority w:val="0"/>
  </w:style>
  <w:style w:type="character" w:styleId="11">
    <w:name w:val="Hyperlink"/>
    <w:basedOn w:val="9"/>
    <w:qFormat/>
    <w:uiPriority w:val="0"/>
    <w:rPr>
      <w:color w:val="0563C1" w:themeColor="hyperlink"/>
      <w:u w:val="single"/>
      <w14:textFill>
        <w14:solidFill>
          <w14:schemeClr w14:val="hlink"/>
        </w14:solidFill>
      </w14:textFill>
    </w:rPr>
  </w:style>
  <w:style w:type="paragraph" w:customStyle="1" w:styleId="12">
    <w:name w:val="正文首行缩进 21"/>
    <w:basedOn w:val="1"/>
    <w:qFormat/>
    <w:uiPriority w:val="0"/>
    <w:pPr>
      <w:ind w:firstLine="420" w:firstLineChars="200"/>
    </w:pPr>
    <w:rPr>
      <w:rFonts w:ascii="Times New Roman" w:hAnsi="Times New Roman" w:eastAsia="仿宋_GB2312"/>
      <w:sz w:val="32"/>
      <w:szCs w:val="32"/>
    </w:rPr>
  </w:style>
  <w:style w:type="paragraph" w:styleId="13">
    <w:name w:val="List Paragraph"/>
    <w:basedOn w:val="1"/>
    <w:unhideWhenUsed/>
    <w:qFormat/>
    <w:uiPriority w:val="99"/>
    <w:pPr>
      <w:ind w:firstLine="420" w:firstLineChars="200"/>
    </w:pPr>
  </w:style>
  <w:style w:type="character" w:customStyle="1" w:styleId="14">
    <w:name w:val="批注框文本 Char"/>
    <w:basedOn w:val="9"/>
    <w:link w:val="4"/>
    <w:semiHidden/>
    <w:qFormat/>
    <w:uiPriority w:val="0"/>
    <w:rPr>
      <w:rFonts w:asciiTheme="minorHAnsi" w:hAnsiTheme="minorHAnsi" w:eastAsiaTheme="minorEastAsia" w:cstheme="minorBidi"/>
      <w:kern w:val="2"/>
      <w:sz w:val="18"/>
      <w:szCs w:val="18"/>
    </w:rPr>
  </w:style>
  <w:style w:type="character" w:customStyle="1" w:styleId="15">
    <w:name w:val="页脚 Char"/>
    <w:basedOn w:val="9"/>
    <w:link w:val="5"/>
    <w:qFormat/>
    <w:uiPriority w:val="99"/>
    <w:rPr>
      <w:rFonts w:asciiTheme="minorHAnsi" w:hAnsiTheme="minorHAnsi" w:eastAsiaTheme="minorEastAsia" w:cstheme="minorBidi"/>
      <w:kern w:val="2"/>
      <w:sz w:val="18"/>
      <w:szCs w:val="18"/>
    </w:rPr>
  </w:style>
  <w:style w:type="paragraph" w:customStyle="1" w:styleId="16">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17">
    <w:name w:val="正文文本首行缩进 21"/>
    <w:basedOn w:val="1"/>
    <w:qFormat/>
    <w:uiPriority w:val="0"/>
    <w:pPr>
      <w:ind w:firstLine="420" w:firstLineChars="200"/>
    </w:pPr>
    <w:rPr>
      <w:rFonts w:ascii="Times New Roman" w:hAnsi="Times New Roman"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2301</Words>
  <Characters>2431</Characters>
  <Lines>17</Lines>
  <Paragraphs>4</Paragraphs>
  <TotalTime>4</TotalTime>
  <ScaleCrop>false</ScaleCrop>
  <LinksUpToDate>false</LinksUpToDate>
  <CharactersWithSpaces>2431</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2022-05-22T08:58:00Z</dcterms:created>
  <dc:creator>tahneetan</dc:creator>
  <cp:lastModifiedBy>guest</cp:lastModifiedBy>
  <cp:lastPrinted>2025-07-21T00:52:00Z</cp:lastPrinted>
  <dcterms:modified xsi:type="dcterms:W3CDTF">2025-10-14T09:14:42Z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51885F037F8A4323BCE09D5828C875B6_13</vt:lpwstr>
  </property>
</Properties>
</file>